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d"/>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D4371F">
        <w:rPr>
          <w:b/>
          <w:bCs/>
          <w:sz w:val="20"/>
          <w:szCs w:val="20"/>
        </w:rPr>
        <w:t>2</w:t>
      </w:r>
      <w:r w:rsidR="00522DA1" w:rsidRPr="007B2606">
        <w:rPr>
          <w:b/>
          <w:bCs/>
          <w:sz w:val="20"/>
          <w:szCs w:val="20"/>
        </w:rPr>
        <w:t>-00</w:t>
      </w:r>
      <w:r w:rsidR="009E6DB4">
        <w:rPr>
          <w:b/>
          <w:bCs/>
          <w:sz w:val="20"/>
          <w:szCs w:val="20"/>
        </w:rPr>
        <w:t>65</w:t>
      </w:r>
      <w:r w:rsidR="00372990">
        <w:rPr>
          <w:b/>
          <w:bCs/>
          <w:sz w:val="20"/>
          <w:szCs w:val="20"/>
        </w:rPr>
        <w:t>3</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7471BB" w:rsidP="008C5FF9">
      <w:pPr>
        <w:jc w:val="both"/>
        <w:rPr>
          <w:sz w:val="20"/>
          <w:szCs w:val="20"/>
        </w:rPr>
      </w:pPr>
      <w:r w:rsidRPr="007B2606">
        <w:rPr>
          <w:b/>
          <w:sz w:val="20"/>
          <w:szCs w:val="20"/>
        </w:rPr>
        <w:t>Акционерное общество «Конструкторское бюро «Луч» (АО «КБ «Луч»)</w:t>
      </w:r>
      <w:r w:rsidRPr="007B2606">
        <w:rPr>
          <w:sz w:val="20"/>
          <w:szCs w:val="20"/>
        </w:rPr>
        <w:t xml:space="preserve"> </w:t>
      </w:r>
      <w:r w:rsidR="009E6DB4" w:rsidRPr="009E6DB4">
        <w:rPr>
          <w:sz w:val="20"/>
          <w:szCs w:val="20"/>
        </w:rPr>
        <w:t>в лице первого заместителя Генерального директора (Исполнительного директора) Жукова Дмитрия Владимировича, действующего на основании доверенности №87 от 11.03.2021г</w:t>
      </w:r>
      <w:r w:rsidR="008C5FF9" w:rsidRPr="007B2606">
        <w:rPr>
          <w:sz w:val="20"/>
          <w:szCs w:val="20"/>
        </w:rPr>
        <w:t xml:space="preserve">, далее именуемое </w:t>
      </w:r>
      <w:r w:rsidR="00CD7AD0" w:rsidRPr="007B2606">
        <w:rPr>
          <w:b/>
          <w:sz w:val="20"/>
          <w:szCs w:val="20"/>
        </w:rPr>
        <w:t>«</w:t>
      </w:r>
      <w:r w:rsidR="008C5FF9" w:rsidRPr="007B2606">
        <w:rPr>
          <w:b/>
          <w:sz w:val="20"/>
          <w:szCs w:val="20"/>
        </w:rPr>
        <w:t>Заказчик</w:t>
      </w:r>
      <w:r w:rsidR="00CD7AD0" w:rsidRPr="007B2606">
        <w:rPr>
          <w:b/>
          <w:sz w:val="20"/>
          <w:szCs w:val="20"/>
        </w:rPr>
        <w:t>»</w:t>
      </w:r>
      <w:r w:rsidR="008C5FF9" w:rsidRPr="007B2606">
        <w:rPr>
          <w:sz w:val="20"/>
          <w:szCs w:val="20"/>
        </w:rPr>
        <w:t>, с одной стороны, и ______________________________</w:t>
      </w:r>
      <w:r w:rsidR="001B3B78" w:rsidRPr="007B2606">
        <w:rPr>
          <w:sz w:val="20"/>
          <w:szCs w:val="20"/>
        </w:rPr>
        <w:t>_________</w:t>
      </w:r>
      <w:r w:rsidR="008C5FF9" w:rsidRPr="007B2606">
        <w:rPr>
          <w:sz w:val="20"/>
          <w:szCs w:val="20"/>
        </w:rPr>
        <w:t>____________</w:t>
      </w:r>
      <w:r w:rsidR="00747265" w:rsidRPr="007B2606">
        <w:rPr>
          <w:sz w:val="20"/>
          <w:szCs w:val="20"/>
        </w:rPr>
        <w:t>_______________</w:t>
      </w:r>
      <w:r w:rsidR="008C5FF9"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r w:rsidRPr="007B2606">
        <w:rPr>
          <w:sz w:val="20"/>
          <w:szCs w:val="20"/>
        </w:rPr>
        <w:t>действующего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9E6DB4">
        <w:rPr>
          <w:b/>
          <w:color w:val="17365D"/>
          <w:sz w:val="20"/>
          <w:szCs w:val="20"/>
        </w:rPr>
        <w:t xml:space="preserve">система управления </w:t>
      </w:r>
      <w:proofErr w:type="spellStart"/>
      <w:r w:rsidR="009E6DB4">
        <w:rPr>
          <w:b/>
          <w:color w:val="17365D"/>
          <w:sz w:val="20"/>
          <w:szCs w:val="20"/>
        </w:rPr>
        <w:t>виброиспытаниями</w:t>
      </w:r>
      <w:proofErr w:type="spellEnd"/>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9E6DB4">
        <w:rPr>
          <w:b/>
          <w:color w:val="17365D"/>
          <w:sz w:val="20"/>
          <w:szCs w:val="20"/>
        </w:rPr>
        <w:t xml:space="preserve">систему управления </w:t>
      </w:r>
      <w:proofErr w:type="spellStart"/>
      <w:r w:rsidR="009E6DB4">
        <w:rPr>
          <w:b/>
          <w:color w:val="17365D"/>
          <w:sz w:val="20"/>
          <w:szCs w:val="20"/>
        </w:rPr>
        <w:t>виброиспытаниями</w:t>
      </w:r>
      <w:proofErr w:type="spellEnd"/>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9E6DB4">
        <w:rPr>
          <w:b/>
          <w:color w:val="17365D"/>
          <w:sz w:val="20"/>
          <w:szCs w:val="20"/>
        </w:rPr>
        <w:t>12</w:t>
      </w:r>
      <w:r w:rsidR="00EF24E3" w:rsidRPr="001A4AAA">
        <w:rPr>
          <w:b/>
          <w:color w:val="17365D"/>
          <w:sz w:val="20"/>
          <w:szCs w:val="20"/>
        </w:rPr>
        <w:t>.</w:t>
      </w:r>
      <w:r w:rsidR="006C4C67">
        <w:rPr>
          <w:b/>
          <w:color w:val="17365D"/>
          <w:sz w:val="20"/>
          <w:szCs w:val="20"/>
        </w:rPr>
        <w:t>01</w:t>
      </w:r>
      <w:r w:rsidR="005331D6" w:rsidRPr="001A4AAA">
        <w:rPr>
          <w:b/>
          <w:color w:val="17365D"/>
          <w:sz w:val="20"/>
          <w:szCs w:val="20"/>
        </w:rPr>
        <w:t>.20</w:t>
      </w:r>
      <w:r w:rsidR="00A26B13" w:rsidRPr="001A4AAA">
        <w:rPr>
          <w:b/>
          <w:color w:val="17365D"/>
          <w:sz w:val="20"/>
          <w:szCs w:val="20"/>
        </w:rPr>
        <w:t>2</w:t>
      </w:r>
      <w:r w:rsidR="006C4C67">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762A05" w:rsidRDefault="00D4371F" w:rsidP="00762A05">
      <w:pPr>
        <w:ind w:firstLine="601"/>
        <w:jc w:val="both"/>
        <w:rPr>
          <w:sz w:val="20"/>
          <w:szCs w:val="20"/>
        </w:rPr>
      </w:pPr>
      <w:r w:rsidRPr="007B2606">
        <w:rPr>
          <w:sz w:val="20"/>
          <w:szCs w:val="20"/>
        </w:rPr>
        <w:t>3.1.</w:t>
      </w:r>
      <w:r w:rsidR="00372990">
        <w:rPr>
          <w:sz w:val="20"/>
          <w:szCs w:val="20"/>
        </w:rPr>
        <w:t>4</w:t>
      </w:r>
      <w:r w:rsidRPr="007B2606">
        <w:rPr>
          <w:sz w:val="20"/>
          <w:szCs w:val="20"/>
        </w:rPr>
        <w:t xml:space="preserve">. </w:t>
      </w:r>
      <w:r w:rsidR="00762A0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D4371F" w:rsidRDefault="00762A05" w:rsidP="00D4371F">
      <w:pPr>
        <w:ind w:firstLine="601"/>
        <w:jc w:val="both"/>
        <w:rPr>
          <w:sz w:val="20"/>
          <w:szCs w:val="20"/>
        </w:rPr>
      </w:pPr>
      <w:r w:rsidRPr="007B2606">
        <w:rPr>
          <w:sz w:val="20"/>
          <w:szCs w:val="20"/>
        </w:rPr>
        <w:t>3.1.</w:t>
      </w:r>
      <w:r>
        <w:rPr>
          <w:sz w:val="20"/>
          <w:szCs w:val="20"/>
        </w:rPr>
        <w:t>5</w:t>
      </w:r>
      <w:r w:rsidRPr="007B2606">
        <w:rPr>
          <w:sz w:val="20"/>
          <w:szCs w:val="20"/>
        </w:rPr>
        <w:t xml:space="preserve">. </w:t>
      </w:r>
      <w:r w:rsidR="00D4371F" w:rsidRPr="007B2606">
        <w:rPr>
          <w:sz w:val="20"/>
          <w:szCs w:val="20"/>
        </w:rPr>
        <w:t xml:space="preserve">Соблюдать правила пропускного и </w:t>
      </w:r>
      <w:proofErr w:type="spellStart"/>
      <w:r w:rsidR="00D4371F" w:rsidRPr="007B2606">
        <w:rPr>
          <w:sz w:val="20"/>
          <w:szCs w:val="20"/>
        </w:rPr>
        <w:t>внутриобъектового</w:t>
      </w:r>
      <w:proofErr w:type="spellEnd"/>
      <w:r w:rsidR="00D4371F" w:rsidRPr="007B2606">
        <w:rPr>
          <w:sz w:val="20"/>
          <w:szCs w:val="20"/>
        </w:rPr>
        <w:t xml:space="preserve"> режима Заказчика, требования техники безопасности, пожарной безопасности, </w:t>
      </w:r>
      <w:r w:rsidR="00D4371F" w:rsidRPr="007B2606">
        <w:rPr>
          <w:color w:val="000000"/>
          <w:sz w:val="20"/>
          <w:szCs w:val="20"/>
        </w:rPr>
        <w:t>технической безопасности,</w:t>
      </w:r>
      <w:r w:rsidR="00D4371F" w:rsidRPr="007B2606">
        <w:rPr>
          <w:sz w:val="20"/>
          <w:szCs w:val="20"/>
        </w:rPr>
        <w:t xml:space="preserve"> охраны труда и охраны окружающей среды в соответствии с действующим законодательством.</w:t>
      </w:r>
    </w:p>
    <w:p w:rsidR="00D4371F" w:rsidRPr="007B2606" w:rsidRDefault="00D4371F" w:rsidP="00D4371F">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C4C67" w:rsidRDefault="00D4371F" w:rsidP="00D4371F">
      <w:pPr>
        <w:ind w:firstLine="600"/>
        <w:jc w:val="both"/>
        <w:rPr>
          <w:sz w:val="22"/>
          <w:szCs w:val="22"/>
        </w:rPr>
      </w:pPr>
      <w:r>
        <w:rPr>
          <w:sz w:val="20"/>
          <w:szCs w:val="20"/>
        </w:rPr>
        <w:t xml:space="preserve">4.4. </w:t>
      </w:r>
      <w:r w:rsidRPr="00125362">
        <w:rPr>
          <w:sz w:val="20"/>
          <w:szCs w:val="20"/>
        </w:rPr>
        <w:t>Заказчик имеет право досрочно принять поставленный Поставщиком товар.</w:t>
      </w:r>
      <w:r w:rsidR="006C4C67" w:rsidRPr="006C4C67">
        <w:rPr>
          <w:sz w:val="22"/>
          <w:szCs w:val="22"/>
        </w:rPr>
        <w:t xml:space="preserve"> </w:t>
      </w:r>
    </w:p>
    <w:p w:rsidR="00D4371F" w:rsidRPr="007B2606" w:rsidRDefault="006C4C67" w:rsidP="00D4371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bookmarkStart w:id="0" w:name="_GoBack"/>
      <w:bookmarkEnd w:id="0"/>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762A05" w:rsidRDefault="00762A05" w:rsidP="00762A05">
      <w:pPr>
        <w:autoSpaceDE w:val="0"/>
        <w:autoSpaceDN w:val="0"/>
        <w:adjustRightInd w:val="0"/>
        <w:jc w:val="both"/>
        <w:rPr>
          <w:sz w:val="20"/>
          <w:szCs w:val="20"/>
        </w:rPr>
      </w:pPr>
      <w:r>
        <w:rPr>
          <w:sz w:val="20"/>
          <w:szCs w:val="20"/>
        </w:rPr>
        <w:t xml:space="preserve">          </w:t>
      </w:r>
      <w:r w:rsidRPr="000C5BE7">
        <w:rPr>
          <w:sz w:val="20"/>
          <w:szCs w:val="20"/>
        </w:rPr>
        <w:t>В случае ремонта оборудования по гарантии первичная поверка после ремонта проводится за счет Поставщика.</w:t>
      </w:r>
    </w:p>
    <w:p w:rsidR="00EF24E3" w:rsidRPr="007471BB" w:rsidRDefault="00EF24E3" w:rsidP="00EF24E3">
      <w:pPr>
        <w:autoSpaceDE w:val="0"/>
        <w:autoSpaceDN w:val="0"/>
        <w:adjustRightInd w:val="0"/>
        <w:jc w:val="both"/>
        <w:rPr>
          <w:sz w:val="20"/>
          <w:szCs w:val="20"/>
        </w:rPr>
      </w:pPr>
      <w:r w:rsidRPr="001A4AAA">
        <w:rPr>
          <w:b/>
          <w:color w:val="17365D"/>
          <w:sz w:val="20"/>
          <w:szCs w:val="20"/>
        </w:rPr>
        <w:t xml:space="preserve">          </w:t>
      </w:r>
      <w:r w:rsidRPr="007471BB">
        <w:rPr>
          <w:sz w:val="20"/>
          <w:szCs w:val="20"/>
        </w:rPr>
        <w:t>5.</w:t>
      </w:r>
      <w:r w:rsidR="00452D18" w:rsidRPr="007471BB">
        <w:rPr>
          <w:sz w:val="20"/>
          <w:szCs w:val="20"/>
        </w:rPr>
        <w:t>5</w:t>
      </w:r>
      <w:r w:rsidR="001A0161" w:rsidRPr="007471BB">
        <w:rPr>
          <w:sz w:val="20"/>
          <w:szCs w:val="20"/>
        </w:rPr>
        <w:t>. Выпуск товара не ранее 20</w:t>
      </w:r>
      <w:r w:rsidR="00BB7EC8" w:rsidRPr="007471BB">
        <w:rPr>
          <w:sz w:val="20"/>
          <w:szCs w:val="20"/>
        </w:rPr>
        <w:t>2</w:t>
      </w:r>
      <w:r w:rsidR="006C4C67">
        <w:rPr>
          <w:sz w:val="20"/>
          <w:szCs w:val="20"/>
        </w:rPr>
        <w:t>1</w:t>
      </w:r>
      <w:r w:rsidRPr="007471BB">
        <w:rPr>
          <w:sz w:val="20"/>
          <w:szCs w:val="20"/>
        </w:rPr>
        <w:t xml:space="preserve"> года.</w:t>
      </w:r>
    </w:p>
    <w:p w:rsidR="007471BB" w:rsidRPr="007471BB" w:rsidRDefault="007471BB" w:rsidP="007471BB">
      <w:pPr>
        <w:autoSpaceDE w:val="0"/>
        <w:autoSpaceDN w:val="0"/>
        <w:adjustRightInd w:val="0"/>
        <w:jc w:val="both"/>
        <w:rPr>
          <w:sz w:val="20"/>
          <w:szCs w:val="20"/>
        </w:rPr>
      </w:pPr>
      <w:r w:rsidRPr="007471BB">
        <w:rPr>
          <w:sz w:val="20"/>
          <w:szCs w:val="20"/>
        </w:rPr>
        <w:t xml:space="preserve">          5.6. Товар должен быть поставлен комплектно, и обеспечивать конструктивную </w:t>
      </w:r>
      <w:r w:rsidR="00372990">
        <w:rPr>
          <w:sz w:val="20"/>
          <w:szCs w:val="20"/>
        </w:rPr>
        <w:t>и функциональную совместимость</w:t>
      </w:r>
      <w:r w:rsidRPr="007471BB">
        <w:rPr>
          <w:sz w:val="20"/>
          <w:szCs w:val="20"/>
        </w:rPr>
        <w:t>.</w:t>
      </w:r>
    </w:p>
    <w:p w:rsidR="00762A05" w:rsidRPr="00330449" w:rsidRDefault="004D0DAA" w:rsidP="00762A05">
      <w:pPr>
        <w:widowControl w:val="0"/>
        <w:autoSpaceDE w:val="0"/>
        <w:autoSpaceDN w:val="0"/>
        <w:adjustRightInd w:val="0"/>
        <w:jc w:val="both"/>
        <w:rPr>
          <w:sz w:val="20"/>
          <w:szCs w:val="20"/>
        </w:rPr>
      </w:pPr>
      <w:r w:rsidRPr="007B2606">
        <w:rPr>
          <w:sz w:val="20"/>
          <w:szCs w:val="20"/>
        </w:rPr>
        <w:t xml:space="preserve">       </w:t>
      </w:r>
      <w:r w:rsidR="00762A05">
        <w:rPr>
          <w:sz w:val="20"/>
          <w:szCs w:val="20"/>
        </w:rPr>
        <w:t xml:space="preserve">   5.7. </w:t>
      </w:r>
      <w:r w:rsidR="00762A05"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471BB" w:rsidRPr="007B2606" w:rsidRDefault="00DC37E8" w:rsidP="007471BB">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7471BB" w:rsidRPr="007471BB">
        <w:rPr>
          <w:sz w:val="20"/>
          <w:szCs w:val="20"/>
        </w:rPr>
        <w:t xml:space="preserve"> </w:t>
      </w:r>
      <w:r w:rsidR="007471BB"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DC37E8">
      <w:pPr>
        <w:ind w:firstLine="601"/>
        <w:jc w:val="both"/>
        <w:rPr>
          <w:sz w:val="20"/>
          <w:szCs w:val="20"/>
        </w:rPr>
      </w:pP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lastRenderedPageBreak/>
        <w:t xml:space="preserve">7.2. </w:t>
      </w:r>
      <w:r w:rsidR="009E6DB4" w:rsidRPr="009E6DB4">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в бумажном и электронном виде, уплата таможенных пошлин, налогов, сборов и других обязательных платежей, проведение первичной поверки  и свидетельств о поверке</w:t>
      </w:r>
      <w:r w:rsidRPr="007B2606">
        <w:rPr>
          <w:sz w:val="20"/>
          <w:szCs w:val="20"/>
        </w:rPr>
        <w:t>.</w:t>
      </w:r>
    </w:p>
    <w:p w:rsidR="007471BB" w:rsidRPr="007B2606" w:rsidRDefault="00E5034E" w:rsidP="007471BB">
      <w:pPr>
        <w:jc w:val="both"/>
        <w:rPr>
          <w:sz w:val="20"/>
          <w:szCs w:val="20"/>
        </w:rPr>
      </w:pPr>
      <w:r w:rsidRPr="007B2606">
        <w:rPr>
          <w:sz w:val="20"/>
          <w:szCs w:val="20"/>
        </w:rPr>
        <w:t xml:space="preserve">         7.3. </w:t>
      </w:r>
      <w:r w:rsidR="007471BB" w:rsidRPr="007B2606">
        <w:rPr>
          <w:sz w:val="20"/>
          <w:szCs w:val="20"/>
        </w:rPr>
        <w:t>Оплата поставленного</w:t>
      </w:r>
      <w:r w:rsidR="007471BB">
        <w:rPr>
          <w:sz w:val="20"/>
          <w:szCs w:val="20"/>
        </w:rPr>
        <w:t xml:space="preserve"> Товара производится в течение 30</w:t>
      </w:r>
      <w:r w:rsidR="007471BB" w:rsidRPr="007B2606">
        <w:rPr>
          <w:sz w:val="20"/>
          <w:szCs w:val="20"/>
        </w:rPr>
        <w:t xml:space="preserve"> (</w:t>
      </w:r>
      <w:r w:rsidR="007471BB">
        <w:rPr>
          <w:sz w:val="20"/>
          <w:szCs w:val="20"/>
        </w:rPr>
        <w:t>Тридцати</w:t>
      </w:r>
      <w:r w:rsidR="007471BB" w:rsidRPr="007B2606">
        <w:rPr>
          <w:sz w:val="20"/>
          <w:szCs w:val="20"/>
        </w:rPr>
        <w:t xml:space="preserve">) </w:t>
      </w:r>
      <w:r w:rsidR="00986F2A">
        <w:rPr>
          <w:sz w:val="20"/>
          <w:szCs w:val="20"/>
        </w:rPr>
        <w:t>календарных</w:t>
      </w:r>
      <w:r w:rsidR="007471BB" w:rsidRPr="007B2606">
        <w:rPr>
          <w:sz w:val="20"/>
          <w:szCs w:val="20"/>
        </w:rPr>
        <w:t xml:space="preserve"> дней после получения Товара Заказчиком</w:t>
      </w:r>
      <w:r w:rsidR="007471BB">
        <w:rPr>
          <w:sz w:val="20"/>
          <w:szCs w:val="20"/>
        </w:rPr>
        <w:t xml:space="preserve">, а в случае досрочной поставки Товара – в течение 30 (тридцати) календарных дней с </w:t>
      </w:r>
      <w:r w:rsidR="009E6DB4">
        <w:rPr>
          <w:sz w:val="20"/>
          <w:szCs w:val="20"/>
        </w:rPr>
        <w:t>12</w:t>
      </w:r>
      <w:r w:rsidR="006C4C67">
        <w:rPr>
          <w:sz w:val="20"/>
          <w:szCs w:val="20"/>
        </w:rPr>
        <w:t>.01</w:t>
      </w:r>
      <w:r w:rsidR="007471BB">
        <w:rPr>
          <w:sz w:val="20"/>
          <w:szCs w:val="20"/>
        </w:rPr>
        <w:t>.202</w:t>
      </w:r>
      <w:r w:rsidR="006C4C67">
        <w:rPr>
          <w:sz w:val="20"/>
          <w:szCs w:val="20"/>
        </w:rPr>
        <w:t>3</w:t>
      </w:r>
      <w:r w:rsidR="007471BB">
        <w:rPr>
          <w:sz w:val="20"/>
          <w:szCs w:val="20"/>
        </w:rPr>
        <w:t>г.,</w:t>
      </w:r>
      <w:r w:rsidR="007471BB" w:rsidRPr="007B2606">
        <w:rPr>
          <w:sz w:val="20"/>
          <w:szCs w:val="20"/>
        </w:rPr>
        <w:t xml:space="preserve"> на основании выставленного счета </w:t>
      </w:r>
      <w:r w:rsidR="007471BB">
        <w:rPr>
          <w:sz w:val="20"/>
          <w:szCs w:val="20"/>
        </w:rPr>
        <w:t xml:space="preserve">путем перечисления денежных средств на расчетный счет </w:t>
      </w:r>
      <w:r w:rsidR="007471BB" w:rsidRPr="007B2606">
        <w:rPr>
          <w:sz w:val="20"/>
          <w:szCs w:val="20"/>
        </w:rPr>
        <w:t>Поставщика</w:t>
      </w:r>
      <w:r w:rsidR="00762A05">
        <w:rPr>
          <w:sz w:val="20"/>
          <w:szCs w:val="20"/>
        </w:rPr>
        <w:t xml:space="preserve">, </w:t>
      </w:r>
      <w:r w:rsidR="00762A05" w:rsidRPr="006D6985">
        <w:rPr>
          <w:sz w:val="20"/>
          <w:szCs w:val="20"/>
        </w:rPr>
        <w:t>с учетом требований пункта 3.1.4. и пункта 13.2. Договора.</w:t>
      </w: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lastRenderedPageBreak/>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62A05" w:rsidRPr="006D6985" w:rsidRDefault="007471BB" w:rsidP="00762A05">
      <w:pPr>
        <w:ind w:firstLine="600"/>
        <w:jc w:val="both"/>
        <w:rPr>
          <w:sz w:val="20"/>
          <w:szCs w:val="20"/>
        </w:rPr>
      </w:pPr>
      <w:r>
        <w:rPr>
          <w:sz w:val="20"/>
          <w:szCs w:val="20"/>
        </w:rPr>
        <w:t>13.</w:t>
      </w:r>
      <w:r w:rsidR="00372990">
        <w:rPr>
          <w:sz w:val="20"/>
          <w:szCs w:val="20"/>
        </w:rPr>
        <w:t>2</w:t>
      </w:r>
      <w:r>
        <w:rPr>
          <w:sz w:val="20"/>
          <w:szCs w:val="20"/>
        </w:rPr>
        <w:t xml:space="preserve">. </w:t>
      </w:r>
      <w:r w:rsidR="00762A0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62A05" w:rsidRDefault="00762A05" w:rsidP="00762A0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62A05" w:rsidP="00523C3B">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62A0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62A0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62A0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r w:rsidRPr="007758F3">
              <w:rPr>
                <w:sz w:val="18"/>
              </w:rPr>
              <w:t>р/с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7471BB" w:rsidRPr="001B3B78" w:rsidTr="009B2108">
        <w:trPr>
          <w:trHeight w:val="827"/>
          <w:jc w:val="center"/>
        </w:trPr>
        <w:tc>
          <w:tcPr>
            <w:tcW w:w="4682" w:type="dxa"/>
            <w:gridSpan w:val="2"/>
          </w:tcPr>
          <w:p w:rsidR="007471BB" w:rsidRPr="001B3B78" w:rsidRDefault="007471BB" w:rsidP="008C5FF9">
            <w:pPr>
              <w:snapToGrid w:val="0"/>
              <w:jc w:val="both"/>
            </w:pP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r w:rsidRPr="001B3B78">
              <w:rPr>
                <w:lang w:val="x-none"/>
              </w:rPr>
              <w:t>_______________________________</w:t>
            </w:r>
          </w:p>
          <w:p w:rsidR="007471BB" w:rsidRPr="001B3B78" w:rsidRDefault="007471BB" w:rsidP="008C5FF9">
            <w:pPr>
              <w:jc w:val="both"/>
            </w:pPr>
          </w:p>
          <w:p w:rsidR="007471BB" w:rsidRPr="001B3B78" w:rsidRDefault="007471BB"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9E6DB4" w:rsidRPr="00312FD7" w:rsidRDefault="009E6DB4" w:rsidP="009E6DB4">
            <w:pPr>
              <w:snapToGrid w:val="0"/>
              <w:jc w:val="both"/>
              <w:rPr>
                <w:sz w:val="20"/>
              </w:rPr>
            </w:pPr>
            <w:r w:rsidRPr="00312FD7">
              <w:rPr>
                <w:sz w:val="20"/>
              </w:rPr>
              <w:t>Первый заместитель Генерального директора (Исполнительный директор)</w:t>
            </w:r>
          </w:p>
          <w:p w:rsidR="009E6DB4" w:rsidRPr="00312FD7" w:rsidRDefault="009E6DB4" w:rsidP="009E6DB4">
            <w:pPr>
              <w:snapToGrid w:val="0"/>
              <w:jc w:val="both"/>
              <w:rPr>
                <w:sz w:val="20"/>
              </w:rPr>
            </w:pPr>
            <w:r w:rsidRPr="00312FD7">
              <w:rPr>
                <w:sz w:val="20"/>
              </w:rPr>
              <w:t>АО «КБ «Луч»</w:t>
            </w:r>
          </w:p>
          <w:p w:rsidR="009E6DB4" w:rsidRPr="00312FD7" w:rsidRDefault="009E6DB4" w:rsidP="009E6DB4">
            <w:pPr>
              <w:snapToGrid w:val="0"/>
              <w:jc w:val="both"/>
              <w:rPr>
                <w:sz w:val="20"/>
              </w:rPr>
            </w:pPr>
          </w:p>
          <w:p w:rsidR="007471BB" w:rsidRPr="00431306" w:rsidRDefault="009E6DB4" w:rsidP="009E6DB4">
            <w:pPr>
              <w:jc w:val="both"/>
              <w:rPr>
                <w:sz w:val="20"/>
              </w:rPr>
            </w:pPr>
            <w:r w:rsidRPr="00312FD7">
              <w:rPr>
                <w:sz w:val="20"/>
              </w:rPr>
              <w:t>___________________/ Д.В.</w:t>
            </w:r>
            <w:r>
              <w:rPr>
                <w:sz w:val="20"/>
              </w:rPr>
              <w:t xml:space="preserve"> </w:t>
            </w:r>
            <w:r w:rsidRPr="00312FD7">
              <w:rPr>
                <w:sz w:val="20"/>
              </w:rPr>
              <w:t>Жуков</w:t>
            </w:r>
          </w:p>
        </w:tc>
      </w:tr>
      <w:tr w:rsidR="007471BB" w:rsidRPr="001B3B78" w:rsidTr="009B2108">
        <w:trPr>
          <w:trHeight w:val="215"/>
          <w:jc w:val="center"/>
        </w:trPr>
        <w:tc>
          <w:tcPr>
            <w:tcW w:w="4682" w:type="dxa"/>
            <w:gridSpan w:val="2"/>
          </w:tcPr>
          <w:p w:rsidR="007471BB" w:rsidRPr="001B3B78" w:rsidRDefault="007471BB"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7471BB" w:rsidRPr="00431306" w:rsidRDefault="007471BB"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7471BB" w:rsidRPr="001B3B78" w:rsidTr="009B2108">
        <w:trPr>
          <w:trHeight w:val="80"/>
          <w:jc w:val="center"/>
        </w:trPr>
        <w:tc>
          <w:tcPr>
            <w:tcW w:w="4682" w:type="dxa"/>
            <w:gridSpan w:val="2"/>
          </w:tcPr>
          <w:p w:rsidR="007471BB" w:rsidRPr="001B3B78" w:rsidRDefault="007471BB" w:rsidP="008C5FF9">
            <w:pPr>
              <w:snapToGrid w:val="0"/>
              <w:jc w:val="both"/>
              <w:rPr>
                <w:lang w:val="x-none"/>
              </w:rPr>
            </w:pPr>
          </w:p>
        </w:tc>
        <w:tc>
          <w:tcPr>
            <w:tcW w:w="5367" w:type="dxa"/>
            <w:gridSpan w:val="2"/>
          </w:tcPr>
          <w:p w:rsidR="007471BB" w:rsidRPr="001B3B78" w:rsidRDefault="007471BB" w:rsidP="008C5FF9">
            <w:pPr>
              <w:snapToGrid w:val="0"/>
              <w:jc w:val="both"/>
              <w:rPr>
                <w:lang w:val="x-none"/>
              </w:rPr>
            </w:pPr>
          </w:p>
        </w:tc>
      </w:tr>
    </w:tbl>
    <w:p w:rsidR="008C5FF9" w:rsidRDefault="008C5FF9"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0"/>
        <w:jc w:val="right"/>
        <w:rPr>
          <w:b/>
          <w:bCs/>
          <w:sz w:val="20"/>
          <w:szCs w:val="20"/>
        </w:rPr>
      </w:pPr>
      <w:r w:rsidRPr="001B3B78">
        <w:t xml:space="preserve">к Договору </w:t>
      </w:r>
      <w:r w:rsidR="00CD7AD0" w:rsidRPr="001B3B78">
        <w:t xml:space="preserve">№ </w:t>
      </w:r>
      <w:r w:rsidR="007B46B5">
        <w:rPr>
          <w:b/>
          <w:bCs/>
          <w:sz w:val="20"/>
          <w:szCs w:val="20"/>
        </w:rPr>
        <w:t>0605-2022-00</w:t>
      </w:r>
      <w:r w:rsidR="009E6DB4">
        <w:rPr>
          <w:b/>
          <w:bCs/>
          <w:sz w:val="20"/>
          <w:szCs w:val="20"/>
        </w:rPr>
        <w:t>653</w:t>
      </w:r>
    </w:p>
    <w:p w:rsidR="00C452B0" w:rsidRPr="001B3B78" w:rsidRDefault="00C452B0" w:rsidP="00BB7EC8">
      <w:pPr>
        <w:pStyle w:val="af0"/>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7471BB">
        <w:t>2</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4371F">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4371F">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4371F">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E6DB4">
        <w:rPr>
          <w:b/>
          <w:color w:val="17365D"/>
        </w:rPr>
        <w:t>12</w:t>
      </w:r>
      <w:r w:rsidR="00EF24E3" w:rsidRPr="001A4AAA">
        <w:rPr>
          <w:b/>
          <w:color w:val="17365D"/>
        </w:rPr>
        <w:t>.</w:t>
      </w:r>
      <w:r w:rsidR="007B46B5">
        <w:rPr>
          <w:b/>
          <w:color w:val="17365D"/>
        </w:rPr>
        <w:t>01</w:t>
      </w:r>
      <w:r w:rsidRPr="001A4AAA">
        <w:rPr>
          <w:b/>
          <w:color w:val="17365D"/>
        </w:rPr>
        <w:t>.20</w:t>
      </w:r>
      <w:r w:rsidR="00A26B13" w:rsidRPr="001A4AAA">
        <w:rPr>
          <w:b/>
          <w:color w:val="17365D"/>
        </w:rPr>
        <w:t>2</w:t>
      </w:r>
      <w:r w:rsidR="007B46B5">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9E6DB4" w:rsidRPr="00312FD7" w:rsidRDefault="009E6DB4" w:rsidP="009E6DB4">
            <w:pPr>
              <w:snapToGrid w:val="0"/>
              <w:jc w:val="both"/>
              <w:rPr>
                <w:sz w:val="20"/>
              </w:rPr>
            </w:pPr>
            <w:r w:rsidRPr="00312FD7">
              <w:rPr>
                <w:sz w:val="20"/>
              </w:rPr>
              <w:t>Первый заместитель Генерального директора (Исполнительный директор)</w:t>
            </w:r>
          </w:p>
          <w:p w:rsidR="009E6DB4" w:rsidRPr="00312FD7" w:rsidRDefault="009E6DB4" w:rsidP="009E6DB4">
            <w:pPr>
              <w:snapToGrid w:val="0"/>
              <w:jc w:val="both"/>
              <w:rPr>
                <w:sz w:val="20"/>
              </w:rPr>
            </w:pPr>
          </w:p>
          <w:p w:rsidR="008C5FF9" w:rsidRPr="00A639B7" w:rsidRDefault="009E6DB4" w:rsidP="009E6DB4">
            <w:pPr>
              <w:jc w:val="both"/>
              <w:rPr>
                <w:sz w:val="22"/>
              </w:rPr>
            </w:pPr>
            <w:r w:rsidRPr="00312FD7">
              <w:rPr>
                <w:sz w:val="20"/>
              </w:rPr>
              <w:t>___________________/ Д.В.</w:t>
            </w:r>
            <w:r>
              <w:rPr>
                <w:sz w:val="20"/>
              </w:rPr>
              <w:t xml:space="preserve"> </w:t>
            </w:r>
            <w:r w:rsidRPr="00312FD7">
              <w:rPr>
                <w:sz w:val="20"/>
              </w:rPr>
              <w:t>Жуков</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lastRenderedPageBreak/>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7471BB">
        <w:rPr>
          <w:b/>
          <w:bCs/>
          <w:sz w:val="20"/>
          <w:szCs w:val="20"/>
        </w:rPr>
        <w:t>2</w:t>
      </w:r>
      <w:r w:rsidR="00225664" w:rsidRPr="00E9796A">
        <w:rPr>
          <w:b/>
          <w:bCs/>
          <w:sz w:val="20"/>
          <w:szCs w:val="20"/>
        </w:rPr>
        <w:t>-00</w:t>
      </w:r>
      <w:r w:rsidR="009E6DB4">
        <w:rPr>
          <w:b/>
          <w:bCs/>
          <w:sz w:val="20"/>
          <w:szCs w:val="20"/>
        </w:rPr>
        <w:t>65</w:t>
      </w:r>
      <w:r w:rsidR="00372990">
        <w:rPr>
          <w:b/>
          <w:bCs/>
          <w:sz w:val="20"/>
          <w:szCs w:val="20"/>
        </w:rPr>
        <w:t>3</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w:t>
      </w:r>
      <w:r w:rsidR="007471BB">
        <w:t>2</w:t>
      </w:r>
      <w:r w:rsidRPr="001B3B78">
        <w:t>г.</w:t>
      </w:r>
    </w:p>
    <w:p w:rsidR="009E6DB4" w:rsidRPr="009E6DB4" w:rsidRDefault="009E6DB4" w:rsidP="009E6DB4">
      <w:pPr>
        <w:spacing w:after="60"/>
        <w:jc w:val="center"/>
        <w:rPr>
          <w:b/>
          <w:bCs/>
          <w:sz w:val="20"/>
        </w:rPr>
      </w:pPr>
      <w:r w:rsidRPr="009E6DB4">
        <w:rPr>
          <w:b/>
          <w:bCs/>
          <w:sz w:val="20"/>
        </w:rPr>
        <w:t>ТЕХНИЧЕСКОЕ ЗАДАНИЕ</w:t>
      </w:r>
    </w:p>
    <w:p w:rsidR="009E6DB4" w:rsidRPr="009E6DB4" w:rsidRDefault="009E6DB4" w:rsidP="009E6DB4">
      <w:pPr>
        <w:jc w:val="center"/>
        <w:rPr>
          <w:b/>
          <w:sz w:val="20"/>
        </w:rPr>
      </w:pPr>
      <w:r w:rsidRPr="009E6DB4">
        <w:rPr>
          <w:b/>
          <w:bCs/>
          <w:sz w:val="20"/>
        </w:rPr>
        <w:t xml:space="preserve">на поставку товара: </w:t>
      </w:r>
      <w:r w:rsidRPr="009E6DB4">
        <w:rPr>
          <w:b/>
          <w:sz w:val="20"/>
        </w:rPr>
        <w:t xml:space="preserve">Система управления </w:t>
      </w:r>
      <w:proofErr w:type="spellStart"/>
      <w:r w:rsidRPr="009E6DB4">
        <w:rPr>
          <w:b/>
          <w:sz w:val="20"/>
        </w:rPr>
        <w:t>виброиспытаниями</w:t>
      </w:r>
      <w:proofErr w:type="spellEnd"/>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1. Предмет закупки:</w:t>
      </w:r>
      <w:r w:rsidRPr="009E6DB4">
        <w:rPr>
          <w:sz w:val="20"/>
          <w:szCs w:val="20"/>
        </w:rPr>
        <w:t xml:space="preserve"> </w:t>
      </w:r>
    </w:p>
    <w:p w:rsidR="009E6DB4" w:rsidRPr="009E6DB4" w:rsidRDefault="009E6DB4" w:rsidP="009E6DB4">
      <w:pPr>
        <w:pStyle w:val="20"/>
        <w:numPr>
          <w:ilvl w:val="0"/>
          <w:numId w:val="0"/>
        </w:numPr>
        <w:rPr>
          <w:sz w:val="20"/>
          <w:lang w:val="ru-RU"/>
        </w:rPr>
      </w:pPr>
      <w:r w:rsidRPr="009E6DB4">
        <w:rPr>
          <w:sz w:val="20"/>
          <w:lang w:val="ru-RU"/>
        </w:rPr>
        <w:t xml:space="preserve">Поставка товара: Система управления </w:t>
      </w:r>
      <w:proofErr w:type="spellStart"/>
      <w:r w:rsidRPr="009E6DB4">
        <w:rPr>
          <w:sz w:val="20"/>
          <w:lang w:val="ru-RU"/>
        </w:rPr>
        <w:t>виброиспытаниями</w:t>
      </w:r>
      <w:proofErr w:type="spellEnd"/>
      <w:r w:rsidRPr="009E6DB4">
        <w:rPr>
          <w:sz w:val="20"/>
          <w:lang w:val="ru-RU"/>
        </w:rPr>
        <w:t>.</w:t>
      </w:r>
    </w:p>
    <w:p w:rsidR="009E6DB4" w:rsidRPr="009E6DB4" w:rsidRDefault="009E6DB4" w:rsidP="009E6DB4">
      <w:pPr>
        <w:autoSpaceDE w:val="0"/>
        <w:autoSpaceDN w:val="0"/>
        <w:adjustRightInd w:val="0"/>
        <w:rPr>
          <w:b/>
          <w:sz w:val="20"/>
          <w:szCs w:val="20"/>
        </w:rPr>
      </w:pPr>
      <w:r w:rsidRPr="009E6DB4">
        <w:rPr>
          <w:b/>
          <w:sz w:val="20"/>
          <w:szCs w:val="20"/>
        </w:rPr>
        <w:t>2. Место и условия поставки товара, выполнения работ, оказания услуг:</w:t>
      </w:r>
    </w:p>
    <w:p w:rsidR="009E6DB4" w:rsidRPr="009E6DB4" w:rsidRDefault="009E6DB4" w:rsidP="009E6DB4">
      <w:pPr>
        <w:autoSpaceDE w:val="0"/>
        <w:autoSpaceDN w:val="0"/>
        <w:adjustRightInd w:val="0"/>
        <w:rPr>
          <w:sz w:val="20"/>
          <w:szCs w:val="20"/>
        </w:rPr>
      </w:pPr>
      <w:r w:rsidRPr="009E6DB4">
        <w:rPr>
          <w:sz w:val="20"/>
          <w:szCs w:val="20"/>
        </w:rPr>
        <w:t>Поставить на условиях DDP, согласно ИНКОТЕРМС-2000, по адресу: 152920, Ярославская область, город Рыбинск, бульвар Победы, дом 25.</w:t>
      </w:r>
    </w:p>
    <w:p w:rsidR="009E6DB4" w:rsidRPr="009E6DB4" w:rsidRDefault="009E6DB4" w:rsidP="009E6DB4">
      <w:pPr>
        <w:autoSpaceDE w:val="0"/>
        <w:autoSpaceDN w:val="0"/>
        <w:adjustRightInd w:val="0"/>
        <w:rPr>
          <w:sz w:val="20"/>
          <w:szCs w:val="20"/>
        </w:rPr>
      </w:pPr>
      <w:r w:rsidRPr="009E6DB4">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9E6DB4" w:rsidRPr="009E6DB4" w:rsidRDefault="009E6DB4" w:rsidP="009E6DB4">
      <w:pPr>
        <w:autoSpaceDE w:val="0"/>
        <w:autoSpaceDN w:val="0"/>
        <w:adjustRightInd w:val="0"/>
        <w:rPr>
          <w:b/>
          <w:sz w:val="20"/>
          <w:szCs w:val="20"/>
        </w:rPr>
      </w:pPr>
      <w:r w:rsidRPr="009E6DB4">
        <w:rPr>
          <w:b/>
          <w:sz w:val="20"/>
          <w:szCs w:val="20"/>
        </w:rPr>
        <w:t>3. Срок поставки товара, выполнения работ, оказания услуг:</w:t>
      </w:r>
    </w:p>
    <w:p w:rsidR="009E6DB4" w:rsidRPr="009E6DB4" w:rsidRDefault="009E6DB4" w:rsidP="009E6DB4">
      <w:pPr>
        <w:autoSpaceDE w:val="0"/>
        <w:autoSpaceDN w:val="0"/>
        <w:adjustRightInd w:val="0"/>
        <w:rPr>
          <w:b/>
          <w:sz w:val="20"/>
          <w:szCs w:val="20"/>
        </w:rPr>
      </w:pPr>
      <w:r w:rsidRPr="009E6DB4">
        <w:rPr>
          <w:sz w:val="20"/>
          <w:szCs w:val="20"/>
        </w:rPr>
        <w:t xml:space="preserve">Товар в полном объёме должен быть поставлен в срок до </w:t>
      </w:r>
      <w:r w:rsidRPr="009E6DB4">
        <w:rPr>
          <w:b/>
          <w:sz w:val="20"/>
          <w:szCs w:val="20"/>
        </w:rPr>
        <w:t>12.01.2023 г.</w:t>
      </w:r>
    </w:p>
    <w:p w:rsidR="009E6DB4" w:rsidRPr="009E6DB4" w:rsidRDefault="009E6DB4" w:rsidP="009E6DB4">
      <w:pPr>
        <w:autoSpaceDE w:val="0"/>
        <w:autoSpaceDN w:val="0"/>
        <w:adjustRightInd w:val="0"/>
        <w:rPr>
          <w:sz w:val="20"/>
          <w:szCs w:val="20"/>
        </w:rPr>
      </w:pPr>
      <w:r w:rsidRPr="009E6DB4">
        <w:rPr>
          <w:sz w:val="20"/>
          <w:szCs w:val="20"/>
        </w:rPr>
        <w:t>Допускается досрочная поставка по согласованию с Заказчиком.</w:t>
      </w:r>
    </w:p>
    <w:p w:rsidR="009E6DB4" w:rsidRPr="009E6DB4" w:rsidRDefault="009E6DB4" w:rsidP="009E6DB4">
      <w:pPr>
        <w:autoSpaceDE w:val="0"/>
        <w:autoSpaceDN w:val="0"/>
        <w:adjustRightInd w:val="0"/>
        <w:rPr>
          <w:b/>
          <w:sz w:val="20"/>
          <w:szCs w:val="20"/>
        </w:rPr>
      </w:pPr>
      <w:r w:rsidRPr="009E6DB4">
        <w:rPr>
          <w:b/>
          <w:sz w:val="20"/>
          <w:szCs w:val="20"/>
        </w:rPr>
        <w:t>4. Требования о включенных в цену поставляемого товара (работ, услуг) расходах:</w:t>
      </w:r>
    </w:p>
    <w:p w:rsidR="009E6DB4" w:rsidRPr="009E6DB4" w:rsidRDefault="009E6DB4" w:rsidP="009E6DB4">
      <w:pPr>
        <w:spacing w:after="120"/>
        <w:jc w:val="both"/>
        <w:rPr>
          <w:sz w:val="20"/>
          <w:szCs w:val="20"/>
        </w:rPr>
      </w:pPr>
      <w:r w:rsidRPr="009E6DB4">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маркировку, экспедирование, гарантийное обслуживание, стоимость полного комплекта технической документации на русском языке в бумажном и электронном виде, уплата таможенных пошлин, налогов, сборов и других обязательных платежей, проведение первичной поверки  и свидетельств о поверке.</w:t>
      </w:r>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 xml:space="preserve">5. Технические характеристики и потребительские свойства (не хуже): </w:t>
      </w:r>
    </w:p>
    <w:p w:rsidR="009E6DB4" w:rsidRPr="009E6DB4" w:rsidRDefault="009E6DB4" w:rsidP="009E6DB4">
      <w:pPr>
        <w:keepNext/>
        <w:shd w:val="clear" w:color="auto" w:fill="F3F3F3"/>
        <w:spacing w:before="120" w:after="120"/>
        <w:ind w:right="-142"/>
        <w:jc w:val="both"/>
        <w:outlineLvl w:val="1"/>
        <w:rPr>
          <w:bCs/>
          <w:sz w:val="20"/>
          <w:szCs w:val="20"/>
        </w:rPr>
      </w:pPr>
      <w:r w:rsidRPr="009E6DB4">
        <w:rPr>
          <w:sz w:val="20"/>
          <w:szCs w:val="20"/>
        </w:rPr>
        <w:t xml:space="preserve">Система управления </w:t>
      </w:r>
      <w:proofErr w:type="spellStart"/>
      <w:r w:rsidRPr="009E6DB4">
        <w:rPr>
          <w:sz w:val="20"/>
          <w:szCs w:val="20"/>
        </w:rPr>
        <w:t>виброиспытаниями</w:t>
      </w:r>
      <w:proofErr w:type="spellEnd"/>
      <w:r w:rsidRPr="009E6DB4">
        <w:rPr>
          <w:bCs/>
          <w:sz w:val="20"/>
          <w:szCs w:val="20"/>
        </w:rPr>
        <w:t>.</w:t>
      </w:r>
    </w:p>
    <w:p w:rsidR="009E6DB4" w:rsidRPr="009E6DB4" w:rsidRDefault="009E6DB4" w:rsidP="009E6DB4">
      <w:pPr>
        <w:rPr>
          <w:b/>
          <w:sz w:val="20"/>
          <w:szCs w:val="20"/>
        </w:rPr>
      </w:pPr>
      <w:r w:rsidRPr="009E6DB4">
        <w:rPr>
          <w:b/>
          <w:sz w:val="20"/>
          <w:szCs w:val="20"/>
        </w:rPr>
        <w:t>Технические характеристики: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701"/>
      </w:tblGrid>
      <w:tr w:rsidR="009E6DB4" w:rsidRPr="009E6DB4" w:rsidTr="009E6DB4">
        <w:tc>
          <w:tcPr>
            <w:tcW w:w="7763" w:type="dxa"/>
            <w:shd w:val="clear" w:color="auto" w:fill="auto"/>
            <w:vAlign w:val="center"/>
          </w:tcPr>
          <w:p w:rsidR="009E6DB4" w:rsidRPr="009E6DB4" w:rsidRDefault="009E6DB4" w:rsidP="009C1115">
            <w:pPr>
              <w:jc w:val="center"/>
              <w:rPr>
                <w:sz w:val="20"/>
                <w:szCs w:val="20"/>
              </w:rPr>
            </w:pPr>
            <w:r w:rsidRPr="009E6DB4">
              <w:rPr>
                <w:b/>
                <w:bCs/>
                <w:sz w:val="20"/>
                <w:szCs w:val="20"/>
              </w:rPr>
              <w:t>Основные параметры и характеристики</w:t>
            </w:r>
          </w:p>
        </w:tc>
        <w:tc>
          <w:tcPr>
            <w:tcW w:w="1701" w:type="dxa"/>
            <w:shd w:val="clear" w:color="auto" w:fill="auto"/>
            <w:vAlign w:val="center"/>
          </w:tcPr>
          <w:p w:rsidR="009E6DB4" w:rsidRPr="009E6DB4" w:rsidRDefault="009E6DB4" w:rsidP="009C1115">
            <w:pPr>
              <w:jc w:val="center"/>
              <w:rPr>
                <w:sz w:val="20"/>
                <w:szCs w:val="20"/>
              </w:rPr>
            </w:pPr>
            <w:r w:rsidRPr="009E6DB4">
              <w:rPr>
                <w:b/>
                <w:sz w:val="20"/>
                <w:szCs w:val="20"/>
              </w:rPr>
              <w:t>Значение</w:t>
            </w:r>
          </w:p>
        </w:tc>
      </w:tr>
      <w:tr w:rsidR="009E6DB4" w:rsidRPr="009E6DB4" w:rsidTr="009E6DB4">
        <w:tc>
          <w:tcPr>
            <w:tcW w:w="7763" w:type="dxa"/>
            <w:shd w:val="clear" w:color="auto" w:fill="auto"/>
          </w:tcPr>
          <w:p w:rsidR="009E6DB4" w:rsidRPr="009E6DB4" w:rsidRDefault="009E6DB4" w:rsidP="009C1115">
            <w:pPr>
              <w:rPr>
                <w:sz w:val="20"/>
                <w:szCs w:val="20"/>
              </w:rPr>
            </w:pPr>
            <w:r w:rsidRPr="009E6DB4">
              <w:rPr>
                <w:sz w:val="20"/>
                <w:szCs w:val="20"/>
              </w:rPr>
              <w:t>Измерительные каналы, шт., не менее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4</w:t>
            </w:r>
          </w:p>
        </w:tc>
      </w:tr>
      <w:tr w:rsidR="009E6DB4" w:rsidRPr="009E6DB4" w:rsidTr="009E6DB4">
        <w:tc>
          <w:tcPr>
            <w:tcW w:w="7763" w:type="dxa"/>
            <w:shd w:val="clear" w:color="auto" w:fill="auto"/>
          </w:tcPr>
          <w:p w:rsidR="009E6DB4" w:rsidRPr="009E6DB4" w:rsidRDefault="009E6DB4" w:rsidP="009C1115">
            <w:pPr>
              <w:rPr>
                <w:sz w:val="20"/>
                <w:szCs w:val="20"/>
              </w:rPr>
            </w:pPr>
            <w:r w:rsidRPr="009E6DB4">
              <w:rPr>
                <w:sz w:val="20"/>
                <w:szCs w:val="20"/>
              </w:rPr>
              <w:t>Напряжение питания, В</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от 190 до 245</w:t>
            </w:r>
          </w:p>
        </w:tc>
      </w:tr>
      <w:tr w:rsidR="009E6DB4" w:rsidRPr="009E6DB4" w:rsidTr="009E6DB4">
        <w:tc>
          <w:tcPr>
            <w:tcW w:w="7763" w:type="dxa"/>
            <w:shd w:val="clear" w:color="auto" w:fill="auto"/>
          </w:tcPr>
          <w:p w:rsidR="009E6DB4" w:rsidRPr="009E6DB4" w:rsidRDefault="009E6DB4" w:rsidP="009C1115">
            <w:pPr>
              <w:rPr>
                <w:sz w:val="20"/>
                <w:szCs w:val="20"/>
              </w:rPr>
            </w:pPr>
            <w:r w:rsidRPr="009E6DB4">
              <w:rPr>
                <w:sz w:val="20"/>
                <w:szCs w:val="20"/>
              </w:rPr>
              <w:t>Частота, Гц</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от 47 до 63</w:t>
            </w:r>
          </w:p>
        </w:tc>
      </w:tr>
      <w:tr w:rsidR="009E6DB4" w:rsidRPr="009E6DB4" w:rsidTr="009E6DB4">
        <w:tc>
          <w:tcPr>
            <w:tcW w:w="7763" w:type="dxa"/>
            <w:shd w:val="clear" w:color="auto" w:fill="auto"/>
          </w:tcPr>
          <w:p w:rsidR="009E6DB4" w:rsidRPr="009E6DB4" w:rsidRDefault="009E6DB4" w:rsidP="009C1115">
            <w:pPr>
              <w:rPr>
                <w:sz w:val="20"/>
                <w:szCs w:val="20"/>
              </w:rPr>
            </w:pPr>
            <w:r w:rsidRPr="009E6DB4">
              <w:rPr>
                <w:sz w:val="20"/>
                <w:szCs w:val="20"/>
              </w:rPr>
              <w:t>Максимальное напряжение сигнала управления (амплитудное значение) на нагрузке 30 кОм ±10%, В, не менее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10,0 ±1%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Относительная погрешность установки выходного напряжения канала управления, %,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2,0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Среднеквадратическое значение уровня шума на выходе канала управления, дБ,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50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Выходное сопротивление канала управления, Ом,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Коэффициент гармоник на выходе канала управления, %,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Уровень шума, приведенный к входу мкВ</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50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Неравномерность АЧХ (амплитудно-частотной модуляции) измерительных каналов относительно опорной частоты 1 кГц на нагрузке 30 кОм в режиме синусоидальной вибрации в диапазоне частот от 1 до 10 Гц, дБ</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0,5</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Неравномерность АЧХ (амплитудно-частотной модуляции) измерительных каналов относительно опорной частоты 1 кГц на нагрузке 30 кОм в режиме синусоидальной вибрации в диапазоне частот свыше 10 до 10000 Гц, дБ</w:t>
            </w:r>
          </w:p>
        </w:tc>
        <w:tc>
          <w:tcPr>
            <w:tcW w:w="1701" w:type="dxa"/>
            <w:shd w:val="clear" w:color="auto" w:fill="auto"/>
            <w:vAlign w:val="center"/>
          </w:tcPr>
          <w:p w:rsidR="009E6DB4" w:rsidRPr="009E6DB4" w:rsidRDefault="009E6DB4" w:rsidP="009C1115">
            <w:pPr>
              <w:jc w:val="center"/>
              <w:rPr>
                <w:sz w:val="20"/>
                <w:szCs w:val="20"/>
              </w:rPr>
            </w:pPr>
          </w:p>
          <w:p w:rsidR="009E6DB4" w:rsidRPr="009E6DB4" w:rsidRDefault="009E6DB4" w:rsidP="009C1115">
            <w:pPr>
              <w:jc w:val="center"/>
              <w:rPr>
                <w:sz w:val="20"/>
                <w:szCs w:val="20"/>
              </w:rPr>
            </w:pPr>
            <w:r w:rsidRPr="009E6DB4">
              <w:rPr>
                <w:sz w:val="20"/>
                <w:szCs w:val="20"/>
              </w:rPr>
              <w:t>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Разрешающая  способность по  частоте в режиме синусоидальной вибрации, %</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0,01</w:t>
            </w:r>
          </w:p>
        </w:tc>
      </w:tr>
      <w:tr w:rsidR="009E6DB4" w:rsidRPr="009E6DB4" w:rsidTr="009E6DB4">
        <w:trPr>
          <w:trHeight w:val="842"/>
        </w:trPr>
        <w:tc>
          <w:tcPr>
            <w:tcW w:w="7763" w:type="dxa"/>
            <w:shd w:val="clear" w:color="auto" w:fill="auto"/>
            <w:vAlign w:val="center"/>
          </w:tcPr>
          <w:p w:rsidR="009E6DB4" w:rsidRPr="009E6DB4" w:rsidRDefault="009E6DB4" w:rsidP="009C1115">
            <w:pPr>
              <w:rPr>
                <w:sz w:val="20"/>
                <w:szCs w:val="20"/>
              </w:rPr>
            </w:pPr>
            <w:r w:rsidRPr="009E6DB4">
              <w:rPr>
                <w:sz w:val="20"/>
                <w:szCs w:val="20"/>
              </w:rPr>
              <w:t>Коэффициент нелинейных искажений выходного сигнала  в режиме синусоидальной вибрации</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Число спектральных линий  в режиме случайной широкополосной вибрации</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10000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Габаритные размеры  приборного блока</w:t>
            </w:r>
            <w:r w:rsidRPr="009E6DB4">
              <w:rPr>
                <w:rFonts w:eastAsia="TimesNewRoman"/>
                <w:sz w:val="20"/>
                <w:szCs w:val="20"/>
              </w:rPr>
              <w:t xml:space="preserve">, </w:t>
            </w:r>
            <w:proofErr w:type="spellStart"/>
            <w:r w:rsidRPr="009E6DB4">
              <w:rPr>
                <w:rFonts w:eastAsia="TimesNewRoman"/>
                <w:sz w:val="20"/>
                <w:szCs w:val="20"/>
              </w:rPr>
              <w:t>ДхШхВ</w:t>
            </w:r>
            <w:proofErr w:type="spellEnd"/>
            <w:r w:rsidRPr="009E6DB4">
              <w:rPr>
                <w:rFonts w:eastAsia="TimesNewRoman"/>
                <w:sz w:val="20"/>
                <w:szCs w:val="20"/>
              </w:rPr>
              <w:t>, мм</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500х32х50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Масса  приборного блока, кг</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5</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Потребляемая мощность, В*А</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200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Диапазон входного напряжения переменного тока (амплитудные значения) В</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0-10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Диапазон выходного напряжения переменного тока (амплитудные значения) В</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0-10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Максимальная частота дискретизации кГц</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64,768</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Число каналов управления</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w:t>
            </w:r>
          </w:p>
        </w:tc>
      </w:tr>
      <w:tr w:rsidR="009E6DB4" w:rsidRPr="009E6DB4" w:rsidTr="009E6DB4">
        <w:trPr>
          <w:trHeight w:val="70"/>
        </w:trPr>
        <w:tc>
          <w:tcPr>
            <w:tcW w:w="7763" w:type="dxa"/>
            <w:shd w:val="clear" w:color="auto" w:fill="auto"/>
            <w:vAlign w:val="center"/>
          </w:tcPr>
          <w:p w:rsidR="009E6DB4" w:rsidRPr="009E6DB4" w:rsidRDefault="009E6DB4" w:rsidP="009C1115">
            <w:pPr>
              <w:rPr>
                <w:sz w:val="20"/>
                <w:szCs w:val="20"/>
              </w:rPr>
            </w:pPr>
            <w:r w:rsidRPr="009E6DB4">
              <w:rPr>
                <w:sz w:val="20"/>
                <w:szCs w:val="20"/>
              </w:rPr>
              <w:t>Число измерительных каналов</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4</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Поддерживаемые типы датчиков из описания типа: с выходным сигналом по заряду, со встроенной электроникой, с линейным выходом;</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Погрешность установки частоты выходного сигнала %;</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lastRenderedPageBreak/>
              <w:t>Разрешающая способность по частоте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Динамический диапазон автоматического регулирования в режиме синусоидальной вибрации дБ</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100</w:t>
            </w:r>
          </w:p>
        </w:tc>
      </w:tr>
      <w:tr w:rsidR="009E6DB4" w:rsidRPr="009E6DB4" w:rsidTr="009E6DB4">
        <w:tc>
          <w:tcPr>
            <w:tcW w:w="7763" w:type="dxa"/>
            <w:shd w:val="clear" w:color="auto" w:fill="auto"/>
            <w:vAlign w:val="center"/>
          </w:tcPr>
          <w:p w:rsidR="009E6DB4" w:rsidRPr="009E6DB4" w:rsidRDefault="009E6DB4" w:rsidP="009C1115">
            <w:pPr>
              <w:rPr>
                <w:b/>
                <w:sz w:val="20"/>
                <w:szCs w:val="20"/>
              </w:rPr>
            </w:pPr>
            <w:r w:rsidRPr="009E6DB4">
              <w:rPr>
                <w:b/>
                <w:sz w:val="20"/>
                <w:szCs w:val="20"/>
              </w:rPr>
              <w:t>Подсистема формирования синусоидальных сигналов</w:t>
            </w:r>
          </w:p>
        </w:tc>
        <w:tc>
          <w:tcPr>
            <w:tcW w:w="1701" w:type="dxa"/>
            <w:shd w:val="clear" w:color="auto" w:fill="auto"/>
            <w:vAlign w:val="center"/>
          </w:tcPr>
          <w:p w:rsidR="009E6DB4" w:rsidRPr="009E6DB4" w:rsidRDefault="009E6DB4" w:rsidP="009C1115">
            <w:pPr>
              <w:jc w:val="center"/>
              <w:rPr>
                <w:sz w:val="20"/>
                <w:szCs w:val="20"/>
              </w:rPr>
            </w:pP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Рабочий диапазон частот, Гц</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1–10000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Предел допускаемой основной относительной погрешности установки частоты синусоидальной вибрации, %,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Диапазон скоростей автоматической развёртки частоты</w:t>
            </w:r>
          </w:p>
          <w:p w:rsidR="009E6DB4" w:rsidRPr="009E6DB4" w:rsidRDefault="009E6DB4" w:rsidP="009C1115">
            <w:pPr>
              <w:rPr>
                <w:sz w:val="20"/>
                <w:szCs w:val="20"/>
              </w:rPr>
            </w:pPr>
            <w:r w:rsidRPr="009E6DB4">
              <w:rPr>
                <w:sz w:val="20"/>
                <w:szCs w:val="20"/>
              </w:rPr>
              <w:t>- по линейному закону, Гц/с;</w:t>
            </w:r>
          </w:p>
          <w:p w:rsidR="009E6DB4" w:rsidRPr="009E6DB4" w:rsidRDefault="009E6DB4" w:rsidP="009C1115">
            <w:pPr>
              <w:rPr>
                <w:sz w:val="20"/>
                <w:szCs w:val="20"/>
              </w:rPr>
            </w:pPr>
            <w:r w:rsidRPr="009E6DB4">
              <w:rPr>
                <w:sz w:val="20"/>
                <w:szCs w:val="20"/>
              </w:rPr>
              <w:t xml:space="preserve">- по логарифмическому закону, </w:t>
            </w:r>
            <w:proofErr w:type="spellStart"/>
            <w:r w:rsidRPr="009E6DB4">
              <w:rPr>
                <w:sz w:val="20"/>
                <w:szCs w:val="20"/>
              </w:rPr>
              <w:t>окт</w:t>
            </w:r>
            <w:proofErr w:type="spellEnd"/>
            <w:r w:rsidRPr="009E6DB4">
              <w:rPr>
                <w:sz w:val="20"/>
                <w:szCs w:val="20"/>
              </w:rPr>
              <w:t>/мин</w:t>
            </w:r>
          </w:p>
        </w:tc>
        <w:tc>
          <w:tcPr>
            <w:tcW w:w="1701" w:type="dxa"/>
            <w:shd w:val="clear" w:color="auto" w:fill="auto"/>
            <w:vAlign w:val="center"/>
          </w:tcPr>
          <w:p w:rsidR="009E6DB4" w:rsidRPr="009E6DB4" w:rsidRDefault="009E6DB4" w:rsidP="009C1115">
            <w:pPr>
              <w:jc w:val="center"/>
              <w:rPr>
                <w:sz w:val="20"/>
                <w:szCs w:val="20"/>
              </w:rPr>
            </w:pPr>
          </w:p>
          <w:p w:rsidR="009E6DB4" w:rsidRPr="009E6DB4" w:rsidRDefault="009E6DB4" w:rsidP="009C1115">
            <w:pPr>
              <w:jc w:val="center"/>
              <w:rPr>
                <w:sz w:val="20"/>
                <w:szCs w:val="20"/>
              </w:rPr>
            </w:pPr>
            <w:r w:rsidRPr="009E6DB4">
              <w:rPr>
                <w:sz w:val="20"/>
                <w:szCs w:val="20"/>
              </w:rPr>
              <w:t>0,1 – 100</w:t>
            </w:r>
          </w:p>
          <w:p w:rsidR="009E6DB4" w:rsidRPr="009E6DB4" w:rsidRDefault="009E6DB4" w:rsidP="009C1115">
            <w:pPr>
              <w:jc w:val="center"/>
              <w:rPr>
                <w:sz w:val="20"/>
                <w:szCs w:val="20"/>
              </w:rPr>
            </w:pPr>
            <w:r w:rsidRPr="009E6DB4">
              <w:rPr>
                <w:sz w:val="20"/>
                <w:szCs w:val="20"/>
              </w:rPr>
              <w:t>0.1 – 100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Предел допускаемого значения относительной погрешности длительности автоматической развёртки частоты, не более</w:t>
            </w:r>
          </w:p>
          <w:p w:rsidR="009E6DB4" w:rsidRPr="009E6DB4" w:rsidRDefault="009E6DB4" w:rsidP="009C1115">
            <w:pPr>
              <w:rPr>
                <w:sz w:val="20"/>
                <w:szCs w:val="20"/>
              </w:rPr>
            </w:pPr>
            <w:r w:rsidRPr="009E6DB4">
              <w:rPr>
                <w:sz w:val="20"/>
                <w:szCs w:val="20"/>
              </w:rPr>
              <w:t>- по линейному закону, %;</w:t>
            </w:r>
          </w:p>
          <w:p w:rsidR="009E6DB4" w:rsidRPr="009E6DB4" w:rsidRDefault="009E6DB4" w:rsidP="009C1115">
            <w:pPr>
              <w:rPr>
                <w:sz w:val="20"/>
                <w:szCs w:val="20"/>
              </w:rPr>
            </w:pPr>
            <w:r w:rsidRPr="009E6DB4">
              <w:rPr>
                <w:sz w:val="20"/>
                <w:szCs w:val="20"/>
              </w:rPr>
              <w:t>- по логарифмическому, %</w:t>
            </w:r>
          </w:p>
        </w:tc>
        <w:tc>
          <w:tcPr>
            <w:tcW w:w="1701" w:type="dxa"/>
            <w:shd w:val="clear" w:color="auto" w:fill="auto"/>
            <w:vAlign w:val="center"/>
          </w:tcPr>
          <w:p w:rsidR="009E6DB4" w:rsidRPr="009E6DB4" w:rsidRDefault="009E6DB4" w:rsidP="009C1115">
            <w:pPr>
              <w:jc w:val="center"/>
              <w:rPr>
                <w:sz w:val="20"/>
                <w:szCs w:val="20"/>
              </w:rPr>
            </w:pPr>
          </w:p>
          <w:p w:rsidR="009E6DB4" w:rsidRPr="009E6DB4" w:rsidRDefault="009E6DB4" w:rsidP="009C1115">
            <w:pPr>
              <w:jc w:val="center"/>
              <w:rPr>
                <w:sz w:val="20"/>
                <w:szCs w:val="20"/>
              </w:rPr>
            </w:pPr>
          </w:p>
          <w:p w:rsidR="009E6DB4" w:rsidRPr="009E6DB4" w:rsidRDefault="009E6DB4" w:rsidP="009C1115">
            <w:pPr>
              <w:jc w:val="center"/>
              <w:rPr>
                <w:sz w:val="20"/>
                <w:szCs w:val="20"/>
              </w:rPr>
            </w:pPr>
            <w:r w:rsidRPr="009E6DB4">
              <w:rPr>
                <w:sz w:val="20"/>
                <w:szCs w:val="20"/>
              </w:rPr>
              <w:t>1,0</w:t>
            </w:r>
          </w:p>
          <w:p w:rsidR="009E6DB4" w:rsidRPr="009E6DB4" w:rsidRDefault="009E6DB4" w:rsidP="009C1115">
            <w:pPr>
              <w:jc w:val="center"/>
              <w:rPr>
                <w:sz w:val="20"/>
                <w:szCs w:val="20"/>
              </w:rPr>
            </w:pPr>
            <w:r w:rsidRPr="009E6DB4">
              <w:rPr>
                <w:sz w:val="20"/>
                <w:szCs w:val="20"/>
              </w:rPr>
              <w:t>1,0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 xml:space="preserve">Погрешность поддержания среднеквадратического значения </w:t>
            </w:r>
            <w:proofErr w:type="spellStart"/>
            <w:r w:rsidRPr="009E6DB4">
              <w:rPr>
                <w:sz w:val="20"/>
                <w:szCs w:val="20"/>
              </w:rPr>
              <w:t>виброускорения</w:t>
            </w:r>
            <w:proofErr w:type="spellEnd"/>
            <w:r w:rsidRPr="009E6DB4">
              <w:rPr>
                <w:sz w:val="20"/>
                <w:szCs w:val="20"/>
              </w:rPr>
              <w:t xml:space="preserve"> системой автоматического регулирования, %,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2</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Динамический диапазон автоматического регулирования синусоидальной вибрации:</w:t>
            </w:r>
          </w:p>
          <w:p w:rsidR="009E6DB4" w:rsidRPr="009E6DB4" w:rsidRDefault="009E6DB4" w:rsidP="009C1115">
            <w:pPr>
              <w:rPr>
                <w:sz w:val="20"/>
                <w:szCs w:val="20"/>
              </w:rPr>
            </w:pPr>
            <w:r w:rsidRPr="009E6DB4">
              <w:rPr>
                <w:sz w:val="20"/>
                <w:szCs w:val="20"/>
              </w:rPr>
              <w:t>- при погрешности подержания уровня ускорения ±2%, дБ, не менее</w:t>
            </w:r>
          </w:p>
          <w:p w:rsidR="009E6DB4" w:rsidRPr="009E6DB4" w:rsidRDefault="009E6DB4" w:rsidP="009C1115">
            <w:pPr>
              <w:rPr>
                <w:sz w:val="20"/>
                <w:szCs w:val="20"/>
              </w:rPr>
            </w:pPr>
            <w:r w:rsidRPr="009E6DB4">
              <w:rPr>
                <w:sz w:val="20"/>
                <w:szCs w:val="20"/>
              </w:rPr>
              <w:t>- при погрешности подержания уровня ускорения ±5%, дБ, не менее</w:t>
            </w:r>
          </w:p>
        </w:tc>
        <w:tc>
          <w:tcPr>
            <w:tcW w:w="1701" w:type="dxa"/>
            <w:shd w:val="clear" w:color="auto" w:fill="auto"/>
            <w:vAlign w:val="center"/>
          </w:tcPr>
          <w:p w:rsidR="009E6DB4" w:rsidRPr="009E6DB4" w:rsidRDefault="009E6DB4" w:rsidP="009C1115">
            <w:pPr>
              <w:jc w:val="center"/>
              <w:rPr>
                <w:sz w:val="20"/>
                <w:szCs w:val="20"/>
              </w:rPr>
            </w:pPr>
          </w:p>
          <w:p w:rsidR="009E6DB4" w:rsidRPr="009E6DB4" w:rsidRDefault="009E6DB4" w:rsidP="009C1115">
            <w:pPr>
              <w:jc w:val="center"/>
              <w:rPr>
                <w:sz w:val="20"/>
                <w:szCs w:val="20"/>
              </w:rPr>
            </w:pPr>
          </w:p>
          <w:p w:rsidR="009E6DB4" w:rsidRPr="009E6DB4" w:rsidRDefault="009E6DB4" w:rsidP="009C1115">
            <w:pPr>
              <w:jc w:val="center"/>
              <w:rPr>
                <w:sz w:val="20"/>
                <w:szCs w:val="20"/>
              </w:rPr>
            </w:pPr>
            <w:r w:rsidRPr="009E6DB4">
              <w:rPr>
                <w:sz w:val="20"/>
                <w:szCs w:val="20"/>
              </w:rPr>
              <w:t>90</w:t>
            </w:r>
          </w:p>
          <w:p w:rsidR="009E6DB4" w:rsidRPr="009E6DB4" w:rsidRDefault="009E6DB4" w:rsidP="009C1115">
            <w:pPr>
              <w:jc w:val="center"/>
              <w:rPr>
                <w:sz w:val="20"/>
                <w:szCs w:val="20"/>
              </w:rPr>
            </w:pPr>
            <w:r w:rsidRPr="009E6DB4">
              <w:rPr>
                <w:sz w:val="20"/>
                <w:szCs w:val="20"/>
              </w:rPr>
              <w:t>100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Диапазон ограничения максимальной абсолютной скорости компрессии, дБ/с</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 – 200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Диапазон ограничения максимальной относительной скорости компрессии, дБ/с*Гц</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0,1 – 10</w:t>
            </w:r>
          </w:p>
        </w:tc>
      </w:tr>
      <w:tr w:rsidR="009E6DB4" w:rsidRPr="009E6DB4" w:rsidTr="009E6DB4">
        <w:tc>
          <w:tcPr>
            <w:tcW w:w="7763" w:type="dxa"/>
            <w:shd w:val="clear" w:color="auto" w:fill="auto"/>
            <w:vAlign w:val="center"/>
          </w:tcPr>
          <w:p w:rsidR="009E6DB4" w:rsidRPr="009E6DB4" w:rsidRDefault="009E6DB4" w:rsidP="009C1115">
            <w:pPr>
              <w:rPr>
                <w:b/>
                <w:sz w:val="20"/>
                <w:szCs w:val="20"/>
              </w:rPr>
            </w:pPr>
            <w:r w:rsidRPr="009E6DB4">
              <w:rPr>
                <w:b/>
                <w:sz w:val="20"/>
                <w:szCs w:val="20"/>
              </w:rPr>
              <w:t xml:space="preserve">Подсистема формирования </w:t>
            </w:r>
            <w:proofErr w:type="spellStart"/>
            <w:r w:rsidRPr="009E6DB4">
              <w:rPr>
                <w:b/>
                <w:sz w:val="20"/>
                <w:szCs w:val="20"/>
              </w:rPr>
              <w:t>квазислучайных</w:t>
            </w:r>
            <w:proofErr w:type="spellEnd"/>
            <w:r w:rsidRPr="009E6DB4">
              <w:rPr>
                <w:b/>
                <w:sz w:val="20"/>
                <w:szCs w:val="20"/>
              </w:rPr>
              <w:t xml:space="preserve"> сигналов</w:t>
            </w:r>
          </w:p>
        </w:tc>
        <w:tc>
          <w:tcPr>
            <w:tcW w:w="1701" w:type="dxa"/>
            <w:shd w:val="clear" w:color="auto" w:fill="auto"/>
            <w:vAlign w:val="center"/>
          </w:tcPr>
          <w:p w:rsidR="009E6DB4" w:rsidRPr="009E6DB4" w:rsidRDefault="009E6DB4" w:rsidP="009C1115">
            <w:pPr>
              <w:jc w:val="center"/>
              <w:rPr>
                <w:sz w:val="20"/>
                <w:szCs w:val="20"/>
              </w:rPr>
            </w:pP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Рабочий диапазон частот, Гц</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1–10000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 xml:space="preserve">Максимальная величина пик-фактора </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5</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Предел допускаемого значения относительной погрешности измерения СКЗ ускорения ШСВ при времени осреднения 10 сек в рабочем диапазоне частот, %, не более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 1</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 xml:space="preserve">Предел допускаемого значения погрешности длительности испытаний, %, не более </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 xml:space="preserve">Динамический диапазон автоматического регулирования ускорения ШСВ, дБ, не менее </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90</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 xml:space="preserve">Закон распределения мгновенного ускорения ШСВ </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Нормальный</w:t>
            </w:r>
          </w:p>
          <w:p w:rsidR="009E6DB4" w:rsidRPr="009E6DB4" w:rsidRDefault="009E6DB4" w:rsidP="009C1115">
            <w:pPr>
              <w:jc w:val="center"/>
              <w:rPr>
                <w:sz w:val="20"/>
                <w:szCs w:val="20"/>
              </w:rPr>
            </w:pPr>
            <w:r w:rsidRPr="009E6DB4">
              <w:rPr>
                <w:sz w:val="20"/>
                <w:szCs w:val="20"/>
              </w:rPr>
              <w:t>(Гауссов) закон</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Частотное разрешение в диапазоне частот 1-10000 Гц, Гц</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1</w:t>
            </w:r>
          </w:p>
        </w:tc>
      </w:tr>
      <w:tr w:rsidR="009E6DB4" w:rsidRPr="009E6DB4" w:rsidTr="009E6DB4">
        <w:tc>
          <w:tcPr>
            <w:tcW w:w="7763" w:type="dxa"/>
            <w:shd w:val="clear" w:color="auto" w:fill="auto"/>
            <w:vAlign w:val="center"/>
          </w:tcPr>
          <w:p w:rsidR="009E6DB4" w:rsidRPr="009E6DB4" w:rsidRDefault="009E6DB4" w:rsidP="009C1115">
            <w:pPr>
              <w:rPr>
                <w:b/>
                <w:sz w:val="20"/>
                <w:szCs w:val="20"/>
              </w:rPr>
            </w:pPr>
            <w:r w:rsidRPr="009E6DB4">
              <w:rPr>
                <w:b/>
                <w:sz w:val="20"/>
                <w:szCs w:val="20"/>
              </w:rPr>
              <w:t>Подсистема формирования классического удара</w:t>
            </w:r>
          </w:p>
        </w:tc>
        <w:tc>
          <w:tcPr>
            <w:tcW w:w="1701" w:type="dxa"/>
            <w:shd w:val="clear" w:color="auto" w:fill="auto"/>
            <w:vAlign w:val="center"/>
          </w:tcPr>
          <w:p w:rsidR="009E6DB4" w:rsidRPr="009E6DB4" w:rsidRDefault="009E6DB4" w:rsidP="009C1115">
            <w:pPr>
              <w:jc w:val="center"/>
              <w:rPr>
                <w:sz w:val="20"/>
                <w:szCs w:val="20"/>
              </w:rPr>
            </w:pP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Форма огибающей ускорения классического удара</w:t>
            </w:r>
          </w:p>
        </w:tc>
        <w:tc>
          <w:tcPr>
            <w:tcW w:w="1701" w:type="dxa"/>
            <w:shd w:val="clear" w:color="auto" w:fill="auto"/>
            <w:vAlign w:val="center"/>
          </w:tcPr>
          <w:p w:rsidR="009E6DB4" w:rsidRPr="009E6DB4" w:rsidRDefault="009E6DB4" w:rsidP="009C1115">
            <w:pPr>
              <w:jc w:val="center"/>
              <w:rPr>
                <w:sz w:val="20"/>
                <w:szCs w:val="20"/>
              </w:rPr>
            </w:pPr>
            <w:proofErr w:type="spellStart"/>
            <w:r w:rsidRPr="009E6DB4">
              <w:rPr>
                <w:sz w:val="20"/>
                <w:szCs w:val="20"/>
              </w:rPr>
              <w:t>полусинус</w:t>
            </w:r>
            <w:proofErr w:type="spellEnd"/>
            <w:r w:rsidRPr="009E6DB4">
              <w:rPr>
                <w:sz w:val="20"/>
                <w:szCs w:val="20"/>
              </w:rPr>
              <w:t>, треугольник, трапеция, прямоугольник,</w:t>
            </w:r>
          </w:p>
          <w:p w:rsidR="009E6DB4" w:rsidRPr="009E6DB4" w:rsidRDefault="009E6DB4" w:rsidP="009C1115">
            <w:pPr>
              <w:jc w:val="center"/>
              <w:rPr>
                <w:sz w:val="20"/>
                <w:szCs w:val="20"/>
              </w:rPr>
            </w:pPr>
            <w:r w:rsidRPr="009E6DB4">
              <w:rPr>
                <w:sz w:val="20"/>
                <w:szCs w:val="20"/>
              </w:rPr>
              <w:t>пила с пиком в начале,</w:t>
            </w:r>
          </w:p>
          <w:p w:rsidR="009E6DB4" w:rsidRPr="009E6DB4" w:rsidRDefault="009E6DB4" w:rsidP="009C1115">
            <w:pPr>
              <w:jc w:val="center"/>
              <w:rPr>
                <w:sz w:val="20"/>
                <w:szCs w:val="20"/>
              </w:rPr>
            </w:pPr>
            <w:r w:rsidRPr="009E6DB4">
              <w:rPr>
                <w:sz w:val="20"/>
                <w:szCs w:val="20"/>
              </w:rPr>
              <w:t>пила с пиком в конце,</w:t>
            </w:r>
          </w:p>
          <w:p w:rsidR="009E6DB4" w:rsidRPr="009E6DB4" w:rsidRDefault="009E6DB4" w:rsidP="009C1115">
            <w:pPr>
              <w:jc w:val="center"/>
              <w:rPr>
                <w:sz w:val="20"/>
                <w:szCs w:val="20"/>
              </w:rPr>
            </w:pPr>
            <w:r w:rsidRPr="009E6DB4">
              <w:rPr>
                <w:sz w:val="20"/>
                <w:szCs w:val="20"/>
              </w:rPr>
              <w:t>пользователь-</w:t>
            </w:r>
            <w:proofErr w:type="spellStart"/>
            <w:r w:rsidRPr="009E6DB4">
              <w:rPr>
                <w:sz w:val="20"/>
                <w:szCs w:val="20"/>
              </w:rPr>
              <w:t>ская</w:t>
            </w:r>
            <w:proofErr w:type="spellEnd"/>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Погрешность поддержания амплитуды и длительности импульса удара, %, не хуже</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5</w:t>
            </w:r>
          </w:p>
        </w:tc>
      </w:tr>
      <w:tr w:rsidR="009E6DB4" w:rsidRPr="009E6DB4" w:rsidTr="009E6DB4">
        <w:tc>
          <w:tcPr>
            <w:tcW w:w="7763" w:type="dxa"/>
            <w:shd w:val="clear" w:color="auto" w:fill="auto"/>
            <w:vAlign w:val="center"/>
          </w:tcPr>
          <w:p w:rsidR="009E6DB4" w:rsidRPr="009E6DB4" w:rsidRDefault="009E6DB4" w:rsidP="009C1115">
            <w:pPr>
              <w:rPr>
                <w:sz w:val="20"/>
                <w:szCs w:val="20"/>
              </w:rPr>
            </w:pPr>
            <w:r w:rsidRPr="009E6DB4">
              <w:rPr>
                <w:sz w:val="20"/>
                <w:szCs w:val="20"/>
              </w:rPr>
              <w:t>Диапазон задания длительности импульса удара, с</w:t>
            </w:r>
          </w:p>
        </w:tc>
        <w:tc>
          <w:tcPr>
            <w:tcW w:w="1701" w:type="dxa"/>
            <w:shd w:val="clear" w:color="auto" w:fill="auto"/>
            <w:vAlign w:val="center"/>
          </w:tcPr>
          <w:p w:rsidR="009E6DB4" w:rsidRPr="009E6DB4" w:rsidRDefault="009E6DB4" w:rsidP="009C1115">
            <w:pPr>
              <w:jc w:val="center"/>
              <w:rPr>
                <w:sz w:val="20"/>
                <w:szCs w:val="20"/>
              </w:rPr>
            </w:pPr>
            <w:r w:rsidRPr="009E6DB4">
              <w:rPr>
                <w:sz w:val="20"/>
                <w:szCs w:val="20"/>
              </w:rPr>
              <w:t>0.001 – 0.1</w:t>
            </w:r>
          </w:p>
        </w:tc>
      </w:tr>
      <w:tr w:rsidR="009E6DB4" w:rsidRPr="009E6DB4" w:rsidTr="009E6DB4">
        <w:tc>
          <w:tcPr>
            <w:tcW w:w="7763" w:type="dxa"/>
            <w:shd w:val="clear" w:color="auto" w:fill="auto"/>
            <w:vAlign w:val="center"/>
          </w:tcPr>
          <w:p w:rsidR="009E6DB4" w:rsidRPr="009E6DB4" w:rsidRDefault="009E6DB4" w:rsidP="009C1115">
            <w:pPr>
              <w:rPr>
                <w:sz w:val="20"/>
                <w:szCs w:val="20"/>
              </w:rPr>
            </w:pPr>
          </w:p>
        </w:tc>
        <w:tc>
          <w:tcPr>
            <w:tcW w:w="1701" w:type="dxa"/>
            <w:shd w:val="clear" w:color="auto" w:fill="auto"/>
            <w:vAlign w:val="center"/>
          </w:tcPr>
          <w:p w:rsidR="009E6DB4" w:rsidRPr="009E6DB4" w:rsidRDefault="009E6DB4" w:rsidP="009C1115">
            <w:pPr>
              <w:jc w:val="center"/>
              <w:rPr>
                <w:sz w:val="20"/>
                <w:szCs w:val="20"/>
              </w:rPr>
            </w:pPr>
          </w:p>
        </w:tc>
      </w:tr>
    </w:tbl>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 xml:space="preserve">6. Требования по комплекту поставки: </w:t>
      </w:r>
    </w:p>
    <w:p w:rsidR="009E6DB4" w:rsidRPr="009E6DB4" w:rsidRDefault="009E6DB4" w:rsidP="009E6DB4">
      <w:pPr>
        <w:suppressAutoHyphens/>
        <w:jc w:val="both"/>
        <w:rPr>
          <w:b/>
          <w:sz w:val="20"/>
          <w:szCs w:val="20"/>
        </w:rPr>
      </w:pPr>
      <w:r w:rsidRPr="009E6DB4">
        <w:rPr>
          <w:b/>
          <w:sz w:val="20"/>
          <w:szCs w:val="20"/>
        </w:rPr>
        <w:t xml:space="preserve">Система управления </w:t>
      </w:r>
      <w:proofErr w:type="spellStart"/>
      <w:r w:rsidRPr="009E6DB4">
        <w:rPr>
          <w:b/>
          <w:sz w:val="20"/>
          <w:szCs w:val="20"/>
        </w:rPr>
        <w:t>виброиспытаниями</w:t>
      </w:r>
      <w:proofErr w:type="spellEnd"/>
      <w:r w:rsidRPr="009E6DB4">
        <w:rPr>
          <w:b/>
          <w:sz w:val="20"/>
          <w:szCs w:val="20"/>
        </w:rPr>
        <w:t xml:space="preserve"> – 1 комплект, в составе:</w:t>
      </w:r>
    </w:p>
    <w:p w:rsidR="009E6DB4" w:rsidRPr="009E6DB4" w:rsidRDefault="009E6DB4" w:rsidP="009E6DB4">
      <w:pPr>
        <w:suppressAutoHyphens/>
        <w:rPr>
          <w:sz w:val="20"/>
          <w:szCs w:val="20"/>
        </w:rPr>
      </w:pPr>
      <w:r w:rsidRPr="009E6DB4">
        <w:rPr>
          <w:sz w:val="20"/>
          <w:szCs w:val="20"/>
        </w:rPr>
        <w:t xml:space="preserve">- система управления </w:t>
      </w:r>
      <w:proofErr w:type="spellStart"/>
      <w:r w:rsidRPr="009E6DB4">
        <w:rPr>
          <w:sz w:val="20"/>
          <w:szCs w:val="20"/>
        </w:rPr>
        <w:t>виброиспытаниями</w:t>
      </w:r>
      <w:proofErr w:type="spellEnd"/>
      <w:r w:rsidRPr="009E6DB4">
        <w:rPr>
          <w:sz w:val="20"/>
          <w:szCs w:val="20"/>
        </w:rPr>
        <w:t xml:space="preserve"> (4 измерительных канала, ПО: синус, ШСВ, удар); </w:t>
      </w:r>
    </w:p>
    <w:p w:rsidR="009E6DB4" w:rsidRPr="009E6DB4" w:rsidRDefault="009E6DB4" w:rsidP="009E6DB4">
      <w:pPr>
        <w:suppressAutoHyphens/>
        <w:rPr>
          <w:sz w:val="20"/>
          <w:szCs w:val="20"/>
        </w:rPr>
      </w:pPr>
      <w:r w:rsidRPr="009E6DB4">
        <w:rPr>
          <w:sz w:val="20"/>
          <w:szCs w:val="20"/>
        </w:rPr>
        <w:t>- виброизмерительные преобразователи – 4 шт.;</w:t>
      </w:r>
    </w:p>
    <w:p w:rsidR="009E6DB4" w:rsidRPr="009E6DB4" w:rsidRDefault="009E6DB4" w:rsidP="009E6DB4">
      <w:pPr>
        <w:suppressAutoHyphens/>
        <w:rPr>
          <w:sz w:val="20"/>
          <w:szCs w:val="20"/>
        </w:rPr>
      </w:pPr>
      <w:r w:rsidRPr="009E6DB4">
        <w:rPr>
          <w:sz w:val="20"/>
          <w:szCs w:val="20"/>
        </w:rPr>
        <w:t>- паспорт – 1 шт.;</w:t>
      </w:r>
    </w:p>
    <w:p w:rsidR="009E6DB4" w:rsidRPr="009E6DB4" w:rsidRDefault="009E6DB4" w:rsidP="009E6DB4">
      <w:pPr>
        <w:suppressAutoHyphens/>
        <w:rPr>
          <w:sz w:val="20"/>
          <w:szCs w:val="20"/>
        </w:rPr>
      </w:pPr>
      <w:r w:rsidRPr="009E6DB4">
        <w:rPr>
          <w:sz w:val="20"/>
          <w:szCs w:val="20"/>
        </w:rPr>
        <w:t>- руководство по эксплуатации – 1 шт.;</w:t>
      </w:r>
    </w:p>
    <w:p w:rsidR="009E6DB4" w:rsidRPr="009E6DB4" w:rsidRDefault="009E6DB4" w:rsidP="009E6DB4">
      <w:pPr>
        <w:suppressAutoHyphens/>
        <w:rPr>
          <w:sz w:val="20"/>
          <w:szCs w:val="20"/>
        </w:rPr>
      </w:pPr>
      <w:r w:rsidRPr="009E6DB4">
        <w:rPr>
          <w:sz w:val="20"/>
          <w:szCs w:val="20"/>
        </w:rPr>
        <w:t>- методика (первичной, периодической, повторной) поверки – 1 шт.;</w:t>
      </w:r>
    </w:p>
    <w:p w:rsidR="009E6DB4" w:rsidRPr="009E6DB4" w:rsidRDefault="009E6DB4" w:rsidP="009E6DB4">
      <w:pPr>
        <w:suppressAutoHyphens/>
        <w:rPr>
          <w:sz w:val="20"/>
          <w:szCs w:val="20"/>
        </w:rPr>
      </w:pPr>
      <w:r w:rsidRPr="009E6DB4">
        <w:rPr>
          <w:sz w:val="20"/>
          <w:szCs w:val="20"/>
        </w:rPr>
        <w:t xml:space="preserve">- свидетельство о поверке системы управления </w:t>
      </w:r>
      <w:proofErr w:type="spellStart"/>
      <w:r w:rsidRPr="009E6DB4">
        <w:rPr>
          <w:sz w:val="20"/>
          <w:szCs w:val="20"/>
        </w:rPr>
        <w:t>виброиспытаниями</w:t>
      </w:r>
      <w:proofErr w:type="spellEnd"/>
      <w:r w:rsidRPr="009E6DB4">
        <w:rPr>
          <w:sz w:val="20"/>
          <w:szCs w:val="20"/>
        </w:rPr>
        <w:t xml:space="preserve"> – 1 шт.;</w:t>
      </w:r>
    </w:p>
    <w:p w:rsidR="009E6DB4" w:rsidRPr="009E6DB4" w:rsidRDefault="009E6DB4" w:rsidP="009E6DB4">
      <w:pPr>
        <w:suppressAutoHyphens/>
        <w:rPr>
          <w:sz w:val="20"/>
          <w:szCs w:val="20"/>
        </w:rPr>
      </w:pPr>
      <w:r w:rsidRPr="009E6DB4">
        <w:rPr>
          <w:sz w:val="20"/>
          <w:szCs w:val="20"/>
        </w:rPr>
        <w:t>- паспорт на виброизмерительные преобразователи – 4 шт.;</w:t>
      </w:r>
    </w:p>
    <w:p w:rsidR="009E6DB4" w:rsidRPr="009E6DB4" w:rsidRDefault="009E6DB4" w:rsidP="009E6DB4">
      <w:pPr>
        <w:suppressAutoHyphens/>
        <w:rPr>
          <w:sz w:val="20"/>
          <w:szCs w:val="20"/>
        </w:rPr>
      </w:pPr>
      <w:r w:rsidRPr="009E6DB4">
        <w:rPr>
          <w:sz w:val="20"/>
          <w:szCs w:val="20"/>
        </w:rPr>
        <w:t>- свидетельства о поверке виброизмерительных преобразователей – 4 шт.</w:t>
      </w:r>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 xml:space="preserve">7. Требования к проведению пусконаладочных работ: </w:t>
      </w:r>
      <w:r w:rsidRPr="009E6DB4">
        <w:rPr>
          <w:bCs/>
          <w:sz w:val="20"/>
          <w:szCs w:val="20"/>
        </w:rPr>
        <w:t>нет</w:t>
      </w:r>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8. Общие эксплуатационные и технические требования к поставляемому товару (работам, услугам):</w:t>
      </w:r>
    </w:p>
    <w:p w:rsidR="009E6DB4" w:rsidRPr="009E6DB4" w:rsidRDefault="009E6DB4" w:rsidP="009E6DB4">
      <w:pPr>
        <w:tabs>
          <w:tab w:val="left" w:pos="630"/>
        </w:tabs>
        <w:suppressAutoHyphens/>
        <w:jc w:val="both"/>
        <w:rPr>
          <w:sz w:val="20"/>
          <w:szCs w:val="20"/>
        </w:rPr>
      </w:pPr>
      <w:r w:rsidRPr="009E6DB4">
        <w:rPr>
          <w:bCs/>
          <w:sz w:val="20"/>
          <w:szCs w:val="20"/>
        </w:rPr>
        <w:t xml:space="preserve">• </w:t>
      </w:r>
      <w:r w:rsidRPr="009E6DB4">
        <w:rPr>
          <w:sz w:val="20"/>
          <w:szCs w:val="20"/>
        </w:rPr>
        <w:t>Поставляемый Товар должен быть новым, не бывшим в употреблении (в эксплуатации, в консервации), не допускается поставка выставочных образцов,</w:t>
      </w:r>
      <w:r w:rsidRPr="009E6DB4">
        <w:rPr>
          <w:color w:val="FF0000"/>
          <w:sz w:val="20"/>
          <w:szCs w:val="20"/>
        </w:rPr>
        <w:t xml:space="preserve"> </w:t>
      </w:r>
      <w:r w:rsidRPr="009E6DB4">
        <w:rPr>
          <w:sz w:val="20"/>
          <w:szCs w:val="20"/>
        </w:rPr>
        <w:t xml:space="preserve">несерийного оборудования, а также оборудования, собранного из восстановленных узлов и агрегатов. </w:t>
      </w:r>
    </w:p>
    <w:p w:rsidR="009E6DB4" w:rsidRPr="009E6DB4" w:rsidRDefault="009E6DB4" w:rsidP="009E6DB4">
      <w:pPr>
        <w:tabs>
          <w:tab w:val="left" w:pos="630"/>
        </w:tabs>
        <w:suppressAutoHyphens/>
        <w:jc w:val="both"/>
        <w:rPr>
          <w:sz w:val="20"/>
          <w:szCs w:val="20"/>
        </w:rPr>
      </w:pPr>
      <w:r w:rsidRPr="009E6DB4">
        <w:rPr>
          <w:bCs/>
          <w:sz w:val="20"/>
          <w:szCs w:val="20"/>
        </w:rPr>
        <w:lastRenderedPageBreak/>
        <w:t xml:space="preserve">• </w:t>
      </w:r>
      <w:r w:rsidRPr="009E6DB4">
        <w:rPr>
          <w:sz w:val="20"/>
          <w:szCs w:val="20"/>
        </w:rPr>
        <w:t>Товар должен быть поставлен комплектно и обеспечивать конструктивную и функциональную совместимость.</w:t>
      </w:r>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9. Требования к гарантийному и техническому обслуживанию товара (работ, услуг):</w:t>
      </w:r>
    </w:p>
    <w:p w:rsidR="009E6DB4" w:rsidRPr="009E6DB4" w:rsidRDefault="009E6DB4" w:rsidP="009E6DB4">
      <w:pPr>
        <w:jc w:val="both"/>
        <w:rPr>
          <w:sz w:val="20"/>
          <w:szCs w:val="20"/>
        </w:rPr>
      </w:pPr>
      <w:r w:rsidRPr="009E6DB4">
        <w:rPr>
          <w:bCs/>
          <w:sz w:val="20"/>
          <w:szCs w:val="20"/>
        </w:rPr>
        <w:t xml:space="preserve">• </w:t>
      </w:r>
      <w:r w:rsidRPr="009E6DB4">
        <w:rPr>
          <w:sz w:val="20"/>
          <w:szCs w:val="20"/>
        </w:rPr>
        <w:t>Срок гарантии - не менее 12 месяцев после ввода Товара в эксплуатацию. Если производитель предоставляет гарантийный срок на Товар более 12 месяцев, Поставщик обязан предоставить  гарантийное обслуживание на срок, равный сроку производителя.</w:t>
      </w:r>
    </w:p>
    <w:p w:rsidR="009E6DB4" w:rsidRPr="009E6DB4" w:rsidRDefault="009E6DB4" w:rsidP="009E6DB4">
      <w:pPr>
        <w:jc w:val="both"/>
        <w:rPr>
          <w:sz w:val="20"/>
          <w:szCs w:val="20"/>
        </w:rPr>
      </w:pPr>
      <w:r w:rsidRPr="009E6DB4">
        <w:rPr>
          <w:bCs/>
          <w:sz w:val="20"/>
          <w:szCs w:val="20"/>
        </w:rPr>
        <w:t xml:space="preserve">• </w:t>
      </w:r>
      <w:r w:rsidRPr="009E6DB4">
        <w:rPr>
          <w:sz w:val="20"/>
          <w:szCs w:val="20"/>
        </w:rPr>
        <w:t>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9E6DB4" w:rsidRPr="009E6DB4" w:rsidRDefault="009E6DB4" w:rsidP="009E6DB4">
      <w:pPr>
        <w:jc w:val="both"/>
        <w:rPr>
          <w:sz w:val="20"/>
          <w:szCs w:val="20"/>
        </w:rPr>
      </w:pPr>
      <w:r w:rsidRPr="009E6DB4">
        <w:rPr>
          <w:bCs/>
          <w:sz w:val="20"/>
          <w:szCs w:val="20"/>
        </w:rPr>
        <w:t xml:space="preserve">• </w:t>
      </w:r>
      <w:r w:rsidRPr="009E6DB4">
        <w:rPr>
          <w:sz w:val="20"/>
          <w:szCs w:val="20"/>
        </w:rPr>
        <w:t>Гарантийное обслуживание Товара должно осуществляться Поставщиком  в течение всего гарантийного срока.</w:t>
      </w:r>
    </w:p>
    <w:p w:rsidR="009E6DB4" w:rsidRPr="009E6DB4" w:rsidRDefault="009E6DB4" w:rsidP="009E6DB4">
      <w:pPr>
        <w:jc w:val="both"/>
        <w:rPr>
          <w:sz w:val="20"/>
          <w:szCs w:val="20"/>
        </w:rPr>
      </w:pPr>
      <w:r w:rsidRPr="009E6DB4">
        <w:rPr>
          <w:bCs/>
          <w:sz w:val="20"/>
          <w:szCs w:val="20"/>
        </w:rPr>
        <w:t xml:space="preserve">• </w:t>
      </w:r>
      <w:r w:rsidRPr="009E6DB4">
        <w:rPr>
          <w:sz w:val="20"/>
          <w:szCs w:val="20"/>
        </w:rPr>
        <w:t>Все расходы на обслуживание Товара в гарантийный срок осуществляются за счет Поставщика.</w:t>
      </w:r>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10. Требования к упаковке:</w:t>
      </w:r>
    </w:p>
    <w:p w:rsidR="009E6DB4" w:rsidRPr="009E6DB4" w:rsidRDefault="009E6DB4" w:rsidP="009E6DB4">
      <w:pPr>
        <w:spacing w:after="120"/>
        <w:jc w:val="both"/>
        <w:rPr>
          <w:sz w:val="20"/>
          <w:szCs w:val="20"/>
        </w:rPr>
      </w:pPr>
      <w:r w:rsidRPr="009E6DB4">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E6DB4" w:rsidRPr="009E6DB4" w:rsidRDefault="009E6DB4" w:rsidP="009E6DB4">
      <w:pPr>
        <w:keepNext/>
        <w:shd w:val="clear" w:color="auto" w:fill="F3F3F3"/>
        <w:spacing w:before="120" w:after="120"/>
        <w:ind w:right="-142"/>
        <w:jc w:val="both"/>
        <w:outlineLvl w:val="1"/>
        <w:rPr>
          <w:b/>
          <w:bCs/>
          <w:sz w:val="20"/>
          <w:szCs w:val="20"/>
        </w:rPr>
      </w:pPr>
      <w:r w:rsidRPr="009E6DB4">
        <w:rPr>
          <w:b/>
          <w:bCs/>
          <w:sz w:val="20"/>
          <w:szCs w:val="20"/>
        </w:rPr>
        <w:t>11. Прочие дополнительные требования к товару:</w:t>
      </w:r>
    </w:p>
    <w:p w:rsidR="009E6DB4" w:rsidRPr="009E6DB4" w:rsidRDefault="009E6DB4" w:rsidP="009E6DB4">
      <w:pPr>
        <w:pStyle w:val="a"/>
        <w:numPr>
          <w:ilvl w:val="0"/>
          <w:numId w:val="0"/>
        </w:numPr>
        <w:rPr>
          <w:rFonts w:ascii="Times New Roman" w:hAnsi="Times New Roman"/>
          <w:i/>
          <w:sz w:val="20"/>
          <w:szCs w:val="20"/>
          <w:u w:val="single"/>
        </w:rPr>
      </w:pPr>
      <w:r w:rsidRPr="009E6DB4">
        <w:rPr>
          <w:bCs/>
          <w:sz w:val="20"/>
          <w:szCs w:val="20"/>
        </w:rPr>
        <w:t>•</w:t>
      </w:r>
      <w:r w:rsidRPr="009E6DB4">
        <w:rPr>
          <w:sz w:val="20"/>
          <w:szCs w:val="20"/>
        </w:rPr>
        <w:t xml:space="preserve"> </w:t>
      </w:r>
      <w:r w:rsidRPr="009E6DB4">
        <w:rPr>
          <w:rFonts w:ascii="Times New Roman" w:hAnsi="Times New Roman"/>
          <w:sz w:val="20"/>
          <w:szCs w:val="20"/>
        </w:rPr>
        <w:t>Дата выпуска оборудования не ранее 2021 г.</w:t>
      </w:r>
      <w:r w:rsidRPr="009E6DB4">
        <w:rPr>
          <w:rFonts w:ascii="Times New Roman" w:hAnsi="Times New Roman"/>
          <w:i/>
          <w:sz w:val="20"/>
          <w:szCs w:val="20"/>
          <w:u w:val="single"/>
        </w:rPr>
        <w:t xml:space="preserve"> </w:t>
      </w:r>
    </w:p>
    <w:p w:rsidR="009E6DB4" w:rsidRPr="009E6DB4" w:rsidRDefault="009E6DB4" w:rsidP="009E6DB4">
      <w:pPr>
        <w:jc w:val="both"/>
        <w:rPr>
          <w:sz w:val="20"/>
          <w:szCs w:val="20"/>
        </w:rPr>
      </w:pPr>
      <w:r w:rsidRPr="009E6DB4">
        <w:rPr>
          <w:bCs/>
          <w:sz w:val="20"/>
          <w:szCs w:val="20"/>
        </w:rPr>
        <w:t>•</w:t>
      </w:r>
      <w:r w:rsidRPr="009E6DB4">
        <w:rPr>
          <w:sz w:val="20"/>
          <w:szCs w:val="20"/>
        </w:rPr>
        <w:t xml:space="preserve"> Поставщиком должна быть предоставлена информация о производителе поставляемого Товара с указанием на товарный знак, артикулярные номера (в случае наличия). </w:t>
      </w:r>
    </w:p>
    <w:p w:rsidR="009E6DB4" w:rsidRPr="009E6DB4" w:rsidRDefault="009E6DB4" w:rsidP="009E6DB4">
      <w:pPr>
        <w:jc w:val="both"/>
        <w:rPr>
          <w:sz w:val="20"/>
          <w:szCs w:val="20"/>
        </w:rPr>
      </w:pPr>
      <w:r w:rsidRPr="009E6DB4">
        <w:rPr>
          <w:sz w:val="20"/>
          <w:szCs w:val="20"/>
        </w:rPr>
        <w:t>В случае ремонта средства измерений по гарантии первичная поверка после ремонта проводится за счет поставщика.</w:t>
      </w:r>
    </w:p>
    <w:p w:rsidR="009E6DB4" w:rsidRPr="009E6DB4" w:rsidRDefault="009E6DB4" w:rsidP="009E6DB4">
      <w:pPr>
        <w:spacing w:after="120"/>
        <w:jc w:val="both"/>
        <w:rPr>
          <w:sz w:val="20"/>
          <w:szCs w:val="20"/>
        </w:rPr>
      </w:pPr>
      <w:r w:rsidRPr="009E6DB4">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225664" w:rsidRPr="009E6DB4" w:rsidRDefault="00225664" w:rsidP="00225664">
      <w:pPr>
        <w:jc w:val="both"/>
        <w:rPr>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225664" w:rsidRPr="009E6DB4" w:rsidTr="00D4371F">
        <w:trPr>
          <w:gridAfter w:val="1"/>
          <w:wAfter w:w="145" w:type="dxa"/>
          <w:trHeight w:val="231"/>
          <w:jc w:val="center"/>
        </w:trPr>
        <w:tc>
          <w:tcPr>
            <w:tcW w:w="4815" w:type="dxa"/>
          </w:tcPr>
          <w:p w:rsidR="00225664" w:rsidRPr="009E6DB4" w:rsidRDefault="00225664" w:rsidP="00D4371F">
            <w:pPr>
              <w:snapToGrid w:val="0"/>
              <w:jc w:val="both"/>
              <w:rPr>
                <w:b/>
                <w:sz w:val="20"/>
                <w:szCs w:val="20"/>
                <w:lang w:val="x-none"/>
              </w:rPr>
            </w:pPr>
            <w:r w:rsidRPr="009E6DB4">
              <w:rPr>
                <w:b/>
                <w:sz w:val="20"/>
                <w:szCs w:val="20"/>
                <w:lang w:val="x-none"/>
              </w:rPr>
              <w:t>Поставщик</w:t>
            </w:r>
          </w:p>
        </w:tc>
        <w:tc>
          <w:tcPr>
            <w:tcW w:w="5390" w:type="dxa"/>
          </w:tcPr>
          <w:p w:rsidR="00225664" w:rsidRPr="009E6DB4" w:rsidRDefault="00225664" w:rsidP="00D4371F">
            <w:pPr>
              <w:snapToGrid w:val="0"/>
              <w:jc w:val="both"/>
              <w:rPr>
                <w:b/>
                <w:sz w:val="20"/>
                <w:szCs w:val="20"/>
                <w:lang w:val="x-none"/>
              </w:rPr>
            </w:pPr>
            <w:r w:rsidRPr="009E6DB4">
              <w:rPr>
                <w:b/>
                <w:sz w:val="20"/>
                <w:szCs w:val="20"/>
                <w:lang w:val="x-none"/>
              </w:rPr>
              <w:t xml:space="preserve">Заказчик </w:t>
            </w:r>
          </w:p>
        </w:tc>
      </w:tr>
      <w:tr w:rsidR="009E6DB4" w:rsidRPr="009E6DB4" w:rsidTr="00D4371F">
        <w:trPr>
          <w:trHeight w:val="1226"/>
          <w:jc w:val="center"/>
        </w:trPr>
        <w:tc>
          <w:tcPr>
            <w:tcW w:w="4815" w:type="dxa"/>
          </w:tcPr>
          <w:p w:rsidR="009E6DB4" w:rsidRPr="009E6DB4" w:rsidRDefault="009E6DB4" w:rsidP="00D4371F">
            <w:pPr>
              <w:snapToGrid w:val="0"/>
              <w:jc w:val="both"/>
              <w:rPr>
                <w:sz w:val="20"/>
                <w:szCs w:val="20"/>
              </w:rPr>
            </w:pPr>
            <w:r w:rsidRPr="009E6DB4">
              <w:rPr>
                <w:sz w:val="20"/>
                <w:szCs w:val="20"/>
              </w:rPr>
              <w:t>_______________________________</w:t>
            </w:r>
          </w:p>
          <w:p w:rsidR="009E6DB4" w:rsidRPr="009E6DB4" w:rsidRDefault="009E6DB4" w:rsidP="00D4371F">
            <w:pPr>
              <w:snapToGrid w:val="0"/>
              <w:jc w:val="both"/>
              <w:rPr>
                <w:sz w:val="20"/>
                <w:szCs w:val="20"/>
              </w:rPr>
            </w:pPr>
          </w:p>
          <w:p w:rsidR="009E6DB4" w:rsidRPr="009E6DB4" w:rsidRDefault="009E6DB4" w:rsidP="00D4371F">
            <w:pPr>
              <w:jc w:val="both"/>
              <w:rPr>
                <w:sz w:val="20"/>
                <w:szCs w:val="20"/>
              </w:rPr>
            </w:pPr>
            <w:r w:rsidRPr="009E6DB4">
              <w:rPr>
                <w:sz w:val="20"/>
                <w:szCs w:val="20"/>
                <w:lang w:val="x-none"/>
              </w:rPr>
              <w:t>________________________________</w:t>
            </w:r>
          </w:p>
          <w:p w:rsidR="009E6DB4" w:rsidRPr="009E6DB4" w:rsidRDefault="009E6DB4" w:rsidP="00D4371F">
            <w:pPr>
              <w:jc w:val="both"/>
              <w:rPr>
                <w:sz w:val="20"/>
                <w:szCs w:val="20"/>
                <w:lang w:val="x-none"/>
              </w:rPr>
            </w:pPr>
            <w:r w:rsidRPr="009E6DB4">
              <w:rPr>
                <w:sz w:val="20"/>
                <w:szCs w:val="20"/>
                <w:lang w:val="x-none"/>
              </w:rPr>
              <w:t>________________________________</w:t>
            </w:r>
          </w:p>
          <w:p w:rsidR="009E6DB4" w:rsidRPr="009E6DB4" w:rsidRDefault="009E6DB4" w:rsidP="00D4371F">
            <w:pPr>
              <w:jc w:val="both"/>
              <w:rPr>
                <w:sz w:val="20"/>
                <w:szCs w:val="20"/>
                <w:lang w:val="x-none"/>
              </w:rPr>
            </w:pPr>
          </w:p>
          <w:p w:rsidR="009E6DB4" w:rsidRPr="009E6DB4" w:rsidRDefault="009E6DB4" w:rsidP="00D4371F">
            <w:pPr>
              <w:jc w:val="both"/>
              <w:rPr>
                <w:sz w:val="20"/>
                <w:szCs w:val="20"/>
                <w:lang w:val="x-none"/>
              </w:rPr>
            </w:pPr>
            <w:r w:rsidRPr="009E6DB4">
              <w:rPr>
                <w:sz w:val="20"/>
                <w:szCs w:val="20"/>
                <w:lang w:val="x-none"/>
              </w:rPr>
              <w:t>_____________</w:t>
            </w:r>
            <w:r w:rsidRPr="009E6DB4">
              <w:rPr>
                <w:sz w:val="20"/>
                <w:szCs w:val="20"/>
              </w:rPr>
              <w:t>________</w:t>
            </w:r>
            <w:r w:rsidRPr="009E6DB4">
              <w:rPr>
                <w:sz w:val="20"/>
                <w:szCs w:val="20"/>
                <w:lang w:val="x-none"/>
              </w:rPr>
              <w:t xml:space="preserve"> </w:t>
            </w:r>
          </w:p>
        </w:tc>
        <w:tc>
          <w:tcPr>
            <w:tcW w:w="5535" w:type="dxa"/>
            <w:gridSpan w:val="2"/>
          </w:tcPr>
          <w:p w:rsidR="009E6DB4" w:rsidRPr="00A26B13" w:rsidRDefault="009E6DB4" w:rsidP="009C1115">
            <w:pPr>
              <w:snapToGrid w:val="0"/>
              <w:jc w:val="both"/>
              <w:rPr>
                <w:sz w:val="22"/>
                <w:lang w:val="x-none"/>
              </w:rPr>
            </w:pPr>
            <w:r w:rsidRPr="00A26B13">
              <w:rPr>
                <w:sz w:val="22"/>
                <w:lang w:val="x-none"/>
              </w:rPr>
              <w:t>АО «КБ  «Луч»</w:t>
            </w:r>
          </w:p>
          <w:p w:rsidR="009E6DB4" w:rsidRPr="00A26B13" w:rsidRDefault="009E6DB4" w:rsidP="009C1115">
            <w:pPr>
              <w:snapToGrid w:val="0"/>
              <w:jc w:val="both"/>
              <w:rPr>
                <w:sz w:val="22"/>
              </w:rPr>
            </w:pPr>
          </w:p>
          <w:p w:rsidR="009E6DB4" w:rsidRPr="00312FD7" w:rsidRDefault="009E6DB4" w:rsidP="009C1115">
            <w:pPr>
              <w:snapToGrid w:val="0"/>
              <w:jc w:val="both"/>
              <w:rPr>
                <w:sz w:val="20"/>
              </w:rPr>
            </w:pPr>
            <w:r w:rsidRPr="00312FD7">
              <w:rPr>
                <w:sz w:val="20"/>
              </w:rPr>
              <w:t>Первый заместитель Генерального директора (Исполнительный директор)</w:t>
            </w:r>
          </w:p>
          <w:p w:rsidR="009E6DB4" w:rsidRPr="00312FD7" w:rsidRDefault="009E6DB4" w:rsidP="009C1115">
            <w:pPr>
              <w:snapToGrid w:val="0"/>
              <w:jc w:val="both"/>
              <w:rPr>
                <w:sz w:val="20"/>
              </w:rPr>
            </w:pPr>
          </w:p>
          <w:p w:rsidR="009E6DB4" w:rsidRPr="00A639B7" w:rsidRDefault="009E6DB4" w:rsidP="009C1115">
            <w:pPr>
              <w:jc w:val="both"/>
              <w:rPr>
                <w:sz w:val="22"/>
              </w:rPr>
            </w:pPr>
            <w:r w:rsidRPr="00312FD7">
              <w:rPr>
                <w:sz w:val="20"/>
              </w:rPr>
              <w:t>___________________/ Д.В.</w:t>
            </w:r>
            <w:r>
              <w:rPr>
                <w:sz w:val="20"/>
              </w:rPr>
              <w:t xml:space="preserve"> </w:t>
            </w:r>
            <w:r w:rsidRPr="00312FD7">
              <w:rPr>
                <w:sz w:val="20"/>
              </w:rPr>
              <w:t>Жуков</w:t>
            </w:r>
          </w:p>
        </w:tc>
      </w:tr>
      <w:tr w:rsidR="009E6DB4" w:rsidRPr="009E6DB4" w:rsidTr="00D4371F">
        <w:trPr>
          <w:trHeight w:val="319"/>
          <w:jc w:val="center"/>
        </w:trPr>
        <w:tc>
          <w:tcPr>
            <w:tcW w:w="4815" w:type="dxa"/>
          </w:tcPr>
          <w:p w:rsidR="009E6DB4" w:rsidRPr="009E6DB4" w:rsidRDefault="009E6DB4" w:rsidP="00D4371F">
            <w:pPr>
              <w:snapToGrid w:val="0"/>
              <w:jc w:val="both"/>
              <w:rPr>
                <w:sz w:val="20"/>
                <w:szCs w:val="20"/>
                <w:lang w:val="x-none"/>
              </w:rPr>
            </w:pPr>
            <w:proofErr w:type="spellStart"/>
            <w:r w:rsidRPr="009E6DB4">
              <w:rPr>
                <w:sz w:val="20"/>
                <w:szCs w:val="20"/>
                <w:lang w:val="x-none"/>
              </w:rPr>
              <w:t>м.п</w:t>
            </w:r>
            <w:proofErr w:type="spellEnd"/>
            <w:r w:rsidRPr="009E6DB4">
              <w:rPr>
                <w:sz w:val="20"/>
                <w:szCs w:val="20"/>
                <w:lang w:val="x-none"/>
              </w:rPr>
              <w:t>.</w:t>
            </w:r>
          </w:p>
        </w:tc>
        <w:tc>
          <w:tcPr>
            <w:tcW w:w="5535" w:type="dxa"/>
            <w:gridSpan w:val="2"/>
          </w:tcPr>
          <w:p w:rsidR="009E6DB4" w:rsidRPr="009E6DB4" w:rsidRDefault="009E6DB4" w:rsidP="00D4371F">
            <w:pPr>
              <w:snapToGrid w:val="0"/>
              <w:jc w:val="both"/>
              <w:rPr>
                <w:sz w:val="20"/>
                <w:szCs w:val="20"/>
                <w:lang w:val="x-none"/>
              </w:rPr>
            </w:pPr>
            <w:proofErr w:type="spellStart"/>
            <w:r w:rsidRPr="009E6DB4">
              <w:rPr>
                <w:sz w:val="20"/>
                <w:szCs w:val="20"/>
                <w:lang w:val="x-none"/>
              </w:rPr>
              <w:t>м.п</w:t>
            </w:r>
            <w:proofErr w:type="spellEnd"/>
            <w:r w:rsidRPr="009E6DB4">
              <w:rPr>
                <w:sz w:val="20"/>
                <w:szCs w:val="20"/>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1F" w:rsidRDefault="00D4371F" w:rsidP="008C5FF9">
      <w:r>
        <w:separator/>
      </w:r>
    </w:p>
  </w:endnote>
  <w:endnote w:type="continuationSeparator" w:id="0">
    <w:p w:rsidR="00D4371F" w:rsidRDefault="00D4371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TimesNewRoman">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1F" w:rsidRDefault="00D4371F">
    <w:pPr>
      <w:pStyle w:val="af0"/>
      <w:jc w:val="right"/>
    </w:pPr>
    <w:r>
      <w:t xml:space="preserve">Страница </w:t>
    </w:r>
    <w:r>
      <w:rPr>
        <w:b/>
        <w:bCs/>
      </w:rPr>
      <w:fldChar w:fldCharType="begin"/>
    </w:r>
    <w:r>
      <w:rPr>
        <w:b/>
        <w:bCs/>
      </w:rPr>
      <w:instrText>PAGE</w:instrText>
    </w:r>
    <w:r>
      <w:rPr>
        <w:b/>
        <w:bCs/>
      </w:rPr>
      <w:fldChar w:fldCharType="separate"/>
    </w:r>
    <w:r w:rsidR="00443839">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443839">
      <w:rPr>
        <w:b/>
        <w:bCs/>
        <w:noProof/>
      </w:rPr>
      <w:t>8</w:t>
    </w:r>
    <w:r>
      <w:rPr>
        <w:b/>
        <w:bCs/>
      </w:rPr>
      <w:fldChar w:fldCharType="end"/>
    </w:r>
  </w:p>
  <w:p w:rsidR="00D4371F" w:rsidRPr="0076754C" w:rsidRDefault="00D4371F" w:rsidP="002B3A34">
    <w:pPr>
      <w:pStyle w:val="af0"/>
    </w:pPr>
    <w:r>
      <w:rPr>
        <w:b/>
        <w:bCs/>
        <w:sz w:val="20"/>
        <w:szCs w:val="20"/>
      </w:rPr>
      <w:t>0605-202</w:t>
    </w:r>
    <w:r w:rsidR="007471BB">
      <w:rPr>
        <w:b/>
        <w:bCs/>
        <w:sz w:val="20"/>
        <w:szCs w:val="20"/>
      </w:rPr>
      <w:t>2</w:t>
    </w:r>
    <w:r>
      <w:rPr>
        <w:b/>
        <w:bCs/>
        <w:sz w:val="20"/>
        <w:szCs w:val="20"/>
      </w:rPr>
      <w:t>-00</w:t>
    </w:r>
    <w:r w:rsidR="009E6DB4">
      <w:rPr>
        <w:b/>
        <w:bCs/>
        <w:sz w:val="20"/>
        <w:szCs w:val="20"/>
      </w:rPr>
      <w:t>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1F" w:rsidRDefault="00D4371F" w:rsidP="008C5FF9">
      <w:r>
        <w:separator/>
      </w:r>
    </w:p>
  </w:footnote>
  <w:footnote w:type="continuationSeparator" w:id="0">
    <w:p w:rsidR="00D4371F" w:rsidRDefault="00D4371F" w:rsidP="008C5FF9">
      <w:r>
        <w:continuationSeparator/>
      </w:r>
    </w:p>
  </w:footnote>
  <w:footnote w:id="1">
    <w:p w:rsidR="00D4371F" w:rsidRDefault="00D4371F" w:rsidP="00A26B13">
      <w:pPr>
        <w:pStyle w:val="ab"/>
      </w:pPr>
      <w:r>
        <w:rPr>
          <w:rStyle w:val="ad"/>
        </w:rPr>
        <w:footnoteRef/>
      </w:r>
      <w:r>
        <w:t xml:space="preserve"> После заполнения Проекта договора фраза подлежит удалению</w:t>
      </w:r>
    </w:p>
  </w:footnote>
  <w:footnote w:id="2">
    <w:p w:rsidR="00D4371F" w:rsidRDefault="00D4371F" w:rsidP="00F81296">
      <w:pPr>
        <w:pStyle w:val="ab"/>
      </w:pPr>
      <w:r>
        <w:rPr>
          <w:rStyle w:val="ad"/>
        </w:rPr>
        <w:footnoteRef/>
      </w:r>
      <w:r>
        <w:t xml:space="preserve"> Если применимо.</w:t>
      </w:r>
    </w:p>
  </w:footnote>
  <w:footnote w:id="3">
    <w:p w:rsidR="00D4371F" w:rsidRPr="001B3B78" w:rsidRDefault="00D4371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4">
    <w:p w:rsidR="00D4371F" w:rsidRPr="00766DF6" w:rsidRDefault="00D4371F"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5">
    <w:p w:rsidR="00D4371F" w:rsidRDefault="00D4371F"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05576CF"/>
    <w:multiLevelType w:val="hybridMultilevel"/>
    <w:tmpl w:val="88B633EC"/>
    <w:lvl w:ilvl="0" w:tplc="559831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49260A7"/>
    <w:multiLevelType w:val="hybridMultilevel"/>
    <w:tmpl w:val="CA60392C"/>
    <w:lvl w:ilvl="0" w:tplc="5484E30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0"/>
      <w:isLgl/>
      <w:lvlText w:val="Раздел %1.%2"/>
      <w:lvlJc w:val="left"/>
      <w:pPr>
        <w:tabs>
          <w:tab w:val="num" w:pos="1440"/>
        </w:tabs>
        <w:ind w:left="0" w:firstLine="0"/>
      </w:pPr>
    </w:lvl>
    <w:lvl w:ilvl="2">
      <w:start w:val="1"/>
      <w:numFmt w:val="lowerLetter"/>
      <w:pStyle w:val="30"/>
      <w:lvlText w:val="(%3)"/>
      <w:lvlJc w:val="left"/>
      <w:pPr>
        <w:tabs>
          <w:tab w:val="num" w:pos="720"/>
        </w:tabs>
        <w:ind w:left="720" w:hanging="432"/>
      </w:pPr>
    </w:lvl>
    <w:lvl w:ilvl="3">
      <w:start w:val="1"/>
      <w:numFmt w:val="lowerRoman"/>
      <w:pStyle w:val="40"/>
      <w:lvlText w:val="(%4)"/>
      <w:lvlJc w:val="right"/>
      <w:pPr>
        <w:tabs>
          <w:tab w:val="num" w:pos="864"/>
        </w:tabs>
        <w:ind w:left="864" w:hanging="144"/>
      </w:pPr>
    </w:lvl>
    <w:lvl w:ilvl="4">
      <w:start w:val="1"/>
      <w:numFmt w:val="decimal"/>
      <w:pStyle w:val="50"/>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423D1"/>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54DA2"/>
    <w:rsid w:val="002629AB"/>
    <w:rsid w:val="00267E03"/>
    <w:rsid w:val="002B3A34"/>
    <w:rsid w:val="002D6774"/>
    <w:rsid w:val="002E2BC0"/>
    <w:rsid w:val="002F05CC"/>
    <w:rsid w:val="00306B26"/>
    <w:rsid w:val="003425EF"/>
    <w:rsid w:val="0034282C"/>
    <w:rsid w:val="00372990"/>
    <w:rsid w:val="0037529B"/>
    <w:rsid w:val="003A5A42"/>
    <w:rsid w:val="003A7770"/>
    <w:rsid w:val="003D6ACE"/>
    <w:rsid w:val="003E6B11"/>
    <w:rsid w:val="004058F7"/>
    <w:rsid w:val="00407AED"/>
    <w:rsid w:val="00431306"/>
    <w:rsid w:val="00443839"/>
    <w:rsid w:val="00452D18"/>
    <w:rsid w:val="00456824"/>
    <w:rsid w:val="00462E6C"/>
    <w:rsid w:val="004634F2"/>
    <w:rsid w:val="004A7A8E"/>
    <w:rsid w:val="004B3240"/>
    <w:rsid w:val="004B4217"/>
    <w:rsid w:val="004B70BD"/>
    <w:rsid w:val="004C74A7"/>
    <w:rsid w:val="004D0DAA"/>
    <w:rsid w:val="00513DED"/>
    <w:rsid w:val="0052150E"/>
    <w:rsid w:val="00522DA1"/>
    <w:rsid w:val="00523B4F"/>
    <w:rsid w:val="00523C3B"/>
    <w:rsid w:val="005331D6"/>
    <w:rsid w:val="005454A1"/>
    <w:rsid w:val="005477F9"/>
    <w:rsid w:val="005503BE"/>
    <w:rsid w:val="0056236D"/>
    <w:rsid w:val="00563892"/>
    <w:rsid w:val="0057368D"/>
    <w:rsid w:val="00592976"/>
    <w:rsid w:val="005A66C6"/>
    <w:rsid w:val="005E1A21"/>
    <w:rsid w:val="005F4624"/>
    <w:rsid w:val="00625F23"/>
    <w:rsid w:val="0063243B"/>
    <w:rsid w:val="0063250A"/>
    <w:rsid w:val="00663A87"/>
    <w:rsid w:val="00687AFB"/>
    <w:rsid w:val="006A46A3"/>
    <w:rsid w:val="006A7158"/>
    <w:rsid w:val="006C4C67"/>
    <w:rsid w:val="006C651A"/>
    <w:rsid w:val="006D180C"/>
    <w:rsid w:val="006F48C3"/>
    <w:rsid w:val="00723B2F"/>
    <w:rsid w:val="007471BB"/>
    <w:rsid w:val="00747265"/>
    <w:rsid w:val="00752D66"/>
    <w:rsid w:val="00757729"/>
    <w:rsid w:val="00762A05"/>
    <w:rsid w:val="0076483F"/>
    <w:rsid w:val="0076754C"/>
    <w:rsid w:val="00770FDD"/>
    <w:rsid w:val="00787DC5"/>
    <w:rsid w:val="00795A43"/>
    <w:rsid w:val="00795DD3"/>
    <w:rsid w:val="007B12B8"/>
    <w:rsid w:val="007B2606"/>
    <w:rsid w:val="007B46B5"/>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86F2A"/>
    <w:rsid w:val="009903F9"/>
    <w:rsid w:val="009A3A67"/>
    <w:rsid w:val="009B2108"/>
    <w:rsid w:val="009B2B9B"/>
    <w:rsid w:val="009C6746"/>
    <w:rsid w:val="009D54BF"/>
    <w:rsid w:val="009E655D"/>
    <w:rsid w:val="009E6DB4"/>
    <w:rsid w:val="00A26B13"/>
    <w:rsid w:val="00A26CD0"/>
    <w:rsid w:val="00A4178F"/>
    <w:rsid w:val="00A45D52"/>
    <w:rsid w:val="00A57511"/>
    <w:rsid w:val="00A639B7"/>
    <w:rsid w:val="00A70C5F"/>
    <w:rsid w:val="00A75431"/>
    <w:rsid w:val="00A9335B"/>
    <w:rsid w:val="00AB250F"/>
    <w:rsid w:val="00AB6348"/>
    <w:rsid w:val="00AC239D"/>
    <w:rsid w:val="00AC5B43"/>
    <w:rsid w:val="00AC6E1D"/>
    <w:rsid w:val="00AC7141"/>
    <w:rsid w:val="00AE0B2D"/>
    <w:rsid w:val="00B01E3D"/>
    <w:rsid w:val="00B11FFA"/>
    <w:rsid w:val="00B12B2F"/>
    <w:rsid w:val="00B24320"/>
    <w:rsid w:val="00B64E2B"/>
    <w:rsid w:val="00B724AE"/>
    <w:rsid w:val="00BA39D9"/>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4371F"/>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82E6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0"/>
    <w:next w:val="a0"/>
    <w:link w:val="10"/>
    <w:qFormat/>
    <w:rsid w:val="009E6DB4"/>
    <w:pPr>
      <w:keepNext/>
      <w:numPr>
        <w:numId w:val="7"/>
      </w:numPr>
      <w:outlineLvl w:val="0"/>
    </w:pPr>
    <w:rPr>
      <w:szCs w:val="20"/>
    </w:rPr>
  </w:style>
  <w:style w:type="paragraph" w:styleId="20">
    <w:name w:val="heading 2"/>
    <w:aliases w:val="H2"/>
    <w:basedOn w:val="a0"/>
    <w:next w:val="a0"/>
    <w:link w:val="21"/>
    <w:qFormat/>
    <w:rsid w:val="009E6DB4"/>
    <w:pPr>
      <w:keepNext/>
      <w:numPr>
        <w:ilvl w:val="1"/>
        <w:numId w:val="7"/>
      </w:numPr>
      <w:jc w:val="both"/>
      <w:outlineLvl w:val="1"/>
    </w:pPr>
    <w:rPr>
      <w:szCs w:val="20"/>
      <w:lang w:val="en-US"/>
    </w:rPr>
  </w:style>
  <w:style w:type="paragraph" w:styleId="30">
    <w:name w:val="heading 3"/>
    <w:basedOn w:val="a0"/>
    <w:next w:val="a0"/>
    <w:link w:val="31"/>
    <w:qFormat/>
    <w:rsid w:val="009E6DB4"/>
    <w:pPr>
      <w:keepNext/>
      <w:numPr>
        <w:ilvl w:val="2"/>
        <w:numId w:val="7"/>
      </w:numPr>
      <w:outlineLvl w:val="2"/>
    </w:pPr>
    <w:rPr>
      <w:b/>
      <w:szCs w:val="20"/>
    </w:rPr>
  </w:style>
  <w:style w:type="paragraph" w:styleId="40">
    <w:name w:val="heading 4"/>
    <w:basedOn w:val="a0"/>
    <w:next w:val="a0"/>
    <w:link w:val="41"/>
    <w:qFormat/>
    <w:rsid w:val="009E6DB4"/>
    <w:pPr>
      <w:keepNext/>
      <w:numPr>
        <w:ilvl w:val="3"/>
        <w:numId w:val="7"/>
      </w:numPr>
      <w:jc w:val="center"/>
      <w:outlineLvl w:val="3"/>
    </w:pPr>
    <w:rPr>
      <w:sz w:val="32"/>
      <w:szCs w:val="20"/>
    </w:rPr>
  </w:style>
  <w:style w:type="paragraph" w:styleId="50">
    <w:name w:val="heading 5"/>
    <w:basedOn w:val="a0"/>
    <w:next w:val="a0"/>
    <w:link w:val="51"/>
    <w:qFormat/>
    <w:rsid w:val="009E6DB4"/>
    <w:pPr>
      <w:numPr>
        <w:ilvl w:val="4"/>
        <w:numId w:val="7"/>
      </w:numPr>
      <w:spacing w:before="240" w:after="60"/>
      <w:outlineLvl w:val="4"/>
    </w:pPr>
    <w:rPr>
      <w:b/>
      <w:bCs/>
      <w:i/>
      <w:iCs/>
      <w:sz w:val="26"/>
      <w:szCs w:val="26"/>
    </w:rPr>
  </w:style>
  <w:style w:type="paragraph" w:styleId="60">
    <w:name w:val="heading 6"/>
    <w:basedOn w:val="a0"/>
    <w:next w:val="a0"/>
    <w:link w:val="61"/>
    <w:qFormat/>
    <w:rsid w:val="009E6DB4"/>
    <w:pPr>
      <w:numPr>
        <w:ilvl w:val="5"/>
        <w:numId w:val="7"/>
      </w:numPr>
      <w:spacing w:before="240" w:after="60"/>
      <w:outlineLvl w:val="5"/>
    </w:pPr>
    <w:rPr>
      <w:b/>
      <w:bCs/>
      <w:sz w:val="22"/>
      <w:szCs w:val="22"/>
    </w:rPr>
  </w:style>
  <w:style w:type="paragraph" w:styleId="7">
    <w:name w:val="heading 7"/>
    <w:basedOn w:val="a0"/>
    <w:next w:val="a0"/>
    <w:link w:val="70"/>
    <w:qFormat/>
    <w:rsid w:val="009E6DB4"/>
    <w:pPr>
      <w:keepNext/>
      <w:keepLines/>
      <w:widowControl w:val="0"/>
      <w:numPr>
        <w:ilvl w:val="6"/>
        <w:numId w:val="7"/>
      </w:numPr>
      <w:suppressLineNumbers/>
      <w:suppressAutoHyphens/>
      <w:jc w:val="center"/>
      <w:outlineLvl w:val="6"/>
    </w:pPr>
    <w:rPr>
      <w:sz w:val="30"/>
      <w:szCs w:val="20"/>
    </w:rPr>
  </w:style>
  <w:style w:type="paragraph" w:styleId="8">
    <w:name w:val="heading 8"/>
    <w:basedOn w:val="a0"/>
    <w:next w:val="a0"/>
    <w:link w:val="80"/>
    <w:qFormat/>
    <w:rsid w:val="009E6DB4"/>
    <w:pPr>
      <w:numPr>
        <w:ilvl w:val="7"/>
        <w:numId w:val="7"/>
      </w:numPr>
      <w:spacing w:before="240" w:after="60"/>
      <w:outlineLvl w:val="7"/>
    </w:pPr>
    <w:rPr>
      <w:i/>
      <w:iCs/>
    </w:rPr>
  </w:style>
  <w:style w:type="paragraph" w:styleId="9">
    <w:name w:val="heading 9"/>
    <w:basedOn w:val="a0"/>
    <w:next w:val="a0"/>
    <w:link w:val="90"/>
    <w:qFormat/>
    <w:rsid w:val="009E6DB4"/>
    <w:pPr>
      <w:numPr>
        <w:ilvl w:val="8"/>
        <w:numId w:val="7"/>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BB7EC8"/>
    <w:pPr>
      <w:spacing w:after="160" w:line="240" w:lineRule="exact"/>
    </w:pPr>
    <w:rPr>
      <w:rFonts w:ascii="Verdana" w:hAnsi="Verdana" w:cs="Verdana"/>
      <w:sz w:val="20"/>
      <w:szCs w:val="20"/>
      <w:lang w:val="en-US" w:eastAsia="en-US"/>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
    <w:rsid w:val="009E6DB4"/>
    <w:rPr>
      <w:rFonts w:ascii="Times New Roman" w:eastAsia="Times New Roman" w:hAnsi="Times New Roman"/>
      <w:sz w:val="24"/>
    </w:rPr>
  </w:style>
  <w:style w:type="character" w:customStyle="1" w:styleId="21">
    <w:name w:val="Заголовок 2 Знак"/>
    <w:aliases w:val="H2 Знак"/>
    <w:basedOn w:val="a1"/>
    <w:link w:val="20"/>
    <w:rsid w:val="009E6DB4"/>
    <w:rPr>
      <w:rFonts w:ascii="Times New Roman" w:eastAsia="Times New Roman" w:hAnsi="Times New Roman"/>
      <w:sz w:val="24"/>
      <w:lang w:val="en-US"/>
    </w:rPr>
  </w:style>
  <w:style w:type="character" w:customStyle="1" w:styleId="31">
    <w:name w:val="Заголовок 3 Знак"/>
    <w:basedOn w:val="a1"/>
    <w:link w:val="30"/>
    <w:rsid w:val="009E6DB4"/>
    <w:rPr>
      <w:rFonts w:ascii="Times New Roman" w:eastAsia="Times New Roman" w:hAnsi="Times New Roman"/>
      <w:b/>
      <w:sz w:val="24"/>
    </w:rPr>
  </w:style>
  <w:style w:type="character" w:customStyle="1" w:styleId="41">
    <w:name w:val="Заголовок 4 Знак"/>
    <w:basedOn w:val="a1"/>
    <w:link w:val="40"/>
    <w:rsid w:val="009E6DB4"/>
    <w:rPr>
      <w:rFonts w:ascii="Times New Roman" w:eastAsia="Times New Roman" w:hAnsi="Times New Roman"/>
      <w:sz w:val="32"/>
    </w:rPr>
  </w:style>
  <w:style w:type="character" w:customStyle="1" w:styleId="51">
    <w:name w:val="Заголовок 5 Знак"/>
    <w:basedOn w:val="a1"/>
    <w:link w:val="50"/>
    <w:rsid w:val="009E6DB4"/>
    <w:rPr>
      <w:rFonts w:ascii="Times New Roman" w:eastAsia="Times New Roman" w:hAnsi="Times New Roman"/>
      <w:b/>
      <w:bCs/>
      <w:i/>
      <w:iCs/>
      <w:sz w:val="26"/>
      <w:szCs w:val="26"/>
    </w:rPr>
  </w:style>
  <w:style w:type="character" w:customStyle="1" w:styleId="61">
    <w:name w:val="Заголовок 6 Знак"/>
    <w:basedOn w:val="a1"/>
    <w:link w:val="60"/>
    <w:rsid w:val="009E6DB4"/>
    <w:rPr>
      <w:rFonts w:ascii="Times New Roman" w:eastAsia="Times New Roman" w:hAnsi="Times New Roman"/>
      <w:b/>
      <w:bCs/>
      <w:sz w:val="22"/>
      <w:szCs w:val="22"/>
    </w:rPr>
  </w:style>
  <w:style w:type="character" w:customStyle="1" w:styleId="70">
    <w:name w:val="Заголовок 7 Знак"/>
    <w:basedOn w:val="a1"/>
    <w:link w:val="7"/>
    <w:rsid w:val="009E6DB4"/>
    <w:rPr>
      <w:rFonts w:ascii="Times New Roman" w:eastAsia="Times New Roman" w:hAnsi="Times New Roman"/>
      <w:sz w:val="30"/>
    </w:rPr>
  </w:style>
  <w:style w:type="character" w:customStyle="1" w:styleId="80">
    <w:name w:val="Заголовок 8 Знак"/>
    <w:basedOn w:val="a1"/>
    <w:link w:val="8"/>
    <w:rsid w:val="009E6DB4"/>
    <w:rPr>
      <w:rFonts w:ascii="Times New Roman" w:eastAsia="Times New Roman" w:hAnsi="Times New Roman"/>
      <w:i/>
      <w:iCs/>
      <w:sz w:val="24"/>
      <w:szCs w:val="24"/>
    </w:rPr>
  </w:style>
  <w:style w:type="character" w:customStyle="1" w:styleId="90">
    <w:name w:val="Заголовок 9 Знак"/>
    <w:basedOn w:val="a1"/>
    <w:link w:val="9"/>
    <w:rsid w:val="009E6DB4"/>
    <w:rPr>
      <w:rFonts w:ascii="Arial" w:eastAsia="Times New Roman" w:hAnsi="Arial" w:cs="Arial"/>
      <w:sz w:val="22"/>
      <w:szCs w:val="22"/>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Знак Знак"/>
    <w:basedOn w:val="a0"/>
    <w:rsid w:val="009E6DB4"/>
    <w:pPr>
      <w:spacing w:after="160" w:line="240" w:lineRule="exact"/>
    </w:pPr>
    <w:rPr>
      <w:rFonts w:ascii="Verdana" w:hAnsi="Verdana" w:cs="Verdana"/>
      <w:sz w:val="20"/>
      <w:szCs w:val="20"/>
      <w:lang w:val="en-US" w:eastAsia="en-US"/>
    </w:rPr>
  </w:style>
  <w:style w:type="paragraph" w:customStyle="1" w:styleId="3">
    <w:name w:val="[Ростех] Наименование Подраздела (Уровень 3)"/>
    <w:qFormat/>
    <w:rsid w:val="009E6DB4"/>
    <w:pPr>
      <w:keepNext/>
      <w:keepLines/>
      <w:numPr>
        <w:ilvl w:val="1"/>
        <w:numId w:val="8"/>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qFormat/>
    <w:rsid w:val="009E6DB4"/>
    <w:pPr>
      <w:keepNext/>
      <w:keepLines/>
      <w:numPr>
        <w:numId w:val="8"/>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5"/>
    <w:qFormat/>
    <w:rsid w:val="009E6DB4"/>
    <w:pPr>
      <w:numPr>
        <w:ilvl w:val="5"/>
        <w:numId w:val="8"/>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qFormat/>
    <w:rsid w:val="009E6DB4"/>
    <w:pPr>
      <w:numPr>
        <w:ilvl w:val="3"/>
        <w:numId w:val="8"/>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qFormat/>
    <w:rsid w:val="009E6DB4"/>
    <w:pPr>
      <w:numPr>
        <w:ilvl w:val="4"/>
        <w:numId w:val="8"/>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qFormat/>
    <w:rsid w:val="009E6DB4"/>
    <w:pPr>
      <w:numPr>
        <w:ilvl w:val="2"/>
        <w:numId w:val="8"/>
      </w:numPr>
      <w:suppressAutoHyphens/>
      <w:spacing w:before="120"/>
      <w:jc w:val="both"/>
      <w:outlineLvl w:val="3"/>
    </w:pPr>
    <w:rPr>
      <w:rFonts w:ascii="Proxima Nova ExCn Rg" w:eastAsia="Times New Roman" w:hAnsi="Proxima Nova ExCn Rg"/>
      <w:sz w:val="28"/>
      <w:szCs w:val="28"/>
    </w:rPr>
  </w:style>
  <w:style w:type="character" w:customStyle="1" w:styleId="af5">
    <w:name w:val="[Ростех] Простой текст (Без уровня) Знак"/>
    <w:link w:val="a"/>
    <w:rsid w:val="009E6DB4"/>
    <w:rPr>
      <w:rFonts w:ascii="Proxima Nova ExCn Rg" w:eastAsia="Times New Roman"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8FFF-0F3E-44BE-85A1-F24166AB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16</cp:revision>
  <cp:lastPrinted>2018-11-23T13:33:00Z</cp:lastPrinted>
  <dcterms:created xsi:type="dcterms:W3CDTF">2017-03-15T15:27:00Z</dcterms:created>
  <dcterms:modified xsi:type="dcterms:W3CDTF">2022-10-11T12:47:00Z</dcterms:modified>
</cp:coreProperties>
</file>